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2C" w:rsidRPr="007A612C" w:rsidRDefault="007A612C" w:rsidP="007A61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612C">
        <w:rPr>
          <w:rFonts w:ascii="Times New Roman" w:eastAsia="Times New Roman" w:hAnsi="Times New Roman" w:cs="Times New Roman"/>
          <w:b/>
          <w:bCs/>
          <w:kern w:val="36"/>
          <w:sz w:val="48"/>
          <w:szCs w:val="48"/>
        </w:rPr>
        <w:t>Timing of De Novo Mutagenesis - A Twin Study of Sodium-Channel Mutations</w:t>
      </w:r>
    </w:p>
    <w:p w:rsidR="007A612C" w:rsidRPr="007A612C" w:rsidRDefault="007A612C" w:rsidP="007A612C">
      <w:pPr>
        <w:spacing w:after="0" w:line="240" w:lineRule="auto"/>
        <w:rPr>
          <w:rFonts w:ascii="Times New Roman" w:eastAsia="Times New Roman" w:hAnsi="Times New Roman" w:cs="Times New Roman"/>
          <w:sz w:val="24"/>
          <w:szCs w:val="24"/>
        </w:rPr>
      </w:pPr>
      <w:proofErr w:type="spellStart"/>
      <w:r w:rsidRPr="007A612C">
        <w:rPr>
          <w:rFonts w:ascii="Times New Roman" w:eastAsia="Times New Roman" w:hAnsi="Times New Roman" w:cs="Times New Roman"/>
          <w:sz w:val="24"/>
          <w:szCs w:val="24"/>
        </w:rPr>
        <w:t>Lata</w:t>
      </w:r>
      <w:proofErr w:type="spellEnd"/>
      <w:r w:rsidRPr="007A612C">
        <w:rPr>
          <w:rFonts w:ascii="Times New Roman" w:eastAsia="Times New Roman" w:hAnsi="Times New Roman" w:cs="Times New Roman"/>
          <w:sz w:val="24"/>
          <w:szCs w:val="24"/>
        </w:rPr>
        <w:t xml:space="preserve"> </w:t>
      </w:r>
      <w:proofErr w:type="spellStart"/>
      <w:r w:rsidRPr="007A612C">
        <w:rPr>
          <w:rFonts w:ascii="Times New Roman" w:eastAsia="Times New Roman" w:hAnsi="Times New Roman" w:cs="Times New Roman"/>
          <w:sz w:val="24"/>
          <w:szCs w:val="24"/>
        </w:rPr>
        <w:t>Vadlamudi</w:t>
      </w:r>
      <w:proofErr w:type="spellEnd"/>
      <w:r w:rsidRPr="007A612C">
        <w:rPr>
          <w:rFonts w:ascii="Times New Roman" w:eastAsia="Times New Roman" w:hAnsi="Times New Roman" w:cs="Times New Roman"/>
          <w:sz w:val="24"/>
          <w:szCs w:val="24"/>
        </w:rPr>
        <w:t xml:space="preserve">, M.B., B.S., Ph.D., Leanne M. </w:t>
      </w:r>
      <w:proofErr w:type="spellStart"/>
      <w:r w:rsidRPr="007A612C">
        <w:rPr>
          <w:rFonts w:ascii="Times New Roman" w:eastAsia="Times New Roman" w:hAnsi="Times New Roman" w:cs="Times New Roman"/>
          <w:sz w:val="24"/>
          <w:szCs w:val="24"/>
        </w:rPr>
        <w:t>Dibbens</w:t>
      </w:r>
      <w:proofErr w:type="spellEnd"/>
      <w:r w:rsidRPr="007A612C">
        <w:rPr>
          <w:rFonts w:ascii="Times New Roman" w:eastAsia="Times New Roman" w:hAnsi="Times New Roman" w:cs="Times New Roman"/>
          <w:sz w:val="24"/>
          <w:szCs w:val="24"/>
        </w:rPr>
        <w:t xml:space="preserve">, Ph.D., Kate M. Lawrence, B.Sc., Xenia Iona, </w:t>
      </w:r>
      <w:proofErr w:type="spellStart"/>
      <w:r w:rsidRPr="007A612C">
        <w:rPr>
          <w:rFonts w:ascii="Times New Roman" w:eastAsia="Times New Roman" w:hAnsi="Times New Roman" w:cs="Times New Roman"/>
          <w:sz w:val="24"/>
          <w:szCs w:val="24"/>
        </w:rPr>
        <w:t>Dip.Biomed.Sci</w:t>
      </w:r>
      <w:proofErr w:type="spellEnd"/>
      <w:r w:rsidRPr="007A612C">
        <w:rPr>
          <w:rFonts w:ascii="Times New Roman" w:eastAsia="Times New Roman" w:hAnsi="Times New Roman" w:cs="Times New Roman"/>
          <w:sz w:val="24"/>
          <w:szCs w:val="24"/>
        </w:rPr>
        <w:t>., Jacinta M. McMahon, B.Sc., Wayne Murrell, Ph.D., Alan Mackay-</w:t>
      </w:r>
      <w:proofErr w:type="spellStart"/>
      <w:r w:rsidRPr="007A612C">
        <w:rPr>
          <w:rFonts w:ascii="Times New Roman" w:eastAsia="Times New Roman" w:hAnsi="Times New Roman" w:cs="Times New Roman"/>
          <w:sz w:val="24"/>
          <w:szCs w:val="24"/>
        </w:rPr>
        <w:t>Sim</w:t>
      </w:r>
      <w:proofErr w:type="spellEnd"/>
      <w:r w:rsidRPr="007A612C">
        <w:rPr>
          <w:rFonts w:ascii="Times New Roman" w:eastAsia="Times New Roman" w:hAnsi="Times New Roman" w:cs="Times New Roman"/>
          <w:sz w:val="24"/>
          <w:szCs w:val="24"/>
        </w:rPr>
        <w:t xml:space="preserve">, Ph.D., Ingrid E. </w:t>
      </w:r>
      <w:proofErr w:type="spellStart"/>
      <w:r w:rsidRPr="007A612C">
        <w:rPr>
          <w:rFonts w:ascii="Times New Roman" w:eastAsia="Times New Roman" w:hAnsi="Times New Roman" w:cs="Times New Roman"/>
          <w:sz w:val="24"/>
          <w:szCs w:val="24"/>
        </w:rPr>
        <w:t>Scheffer</w:t>
      </w:r>
      <w:proofErr w:type="spellEnd"/>
      <w:r w:rsidRPr="007A612C">
        <w:rPr>
          <w:rFonts w:ascii="Times New Roman" w:eastAsia="Times New Roman" w:hAnsi="Times New Roman" w:cs="Times New Roman"/>
          <w:sz w:val="24"/>
          <w:szCs w:val="24"/>
        </w:rPr>
        <w:t xml:space="preserve">, M.B., B.S., Ph.D., and Samuel F. </w:t>
      </w:r>
      <w:proofErr w:type="spellStart"/>
      <w:r w:rsidRPr="007A612C">
        <w:rPr>
          <w:rFonts w:ascii="Times New Roman" w:eastAsia="Times New Roman" w:hAnsi="Times New Roman" w:cs="Times New Roman"/>
          <w:sz w:val="24"/>
          <w:szCs w:val="24"/>
        </w:rPr>
        <w:t>Berkovic</w:t>
      </w:r>
      <w:proofErr w:type="spellEnd"/>
      <w:r w:rsidRPr="007A612C">
        <w:rPr>
          <w:rFonts w:ascii="Times New Roman" w:eastAsia="Times New Roman" w:hAnsi="Times New Roman" w:cs="Times New Roman"/>
          <w:sz w:val="24"/>
          <w:szCs w:val="24"/>
        </w:rPr>
        <w:t>, M.D.</w:t>
      </w:r>
    </w:p>
    <w:p w:rsidR="007A612C" w:rsidRPr="007A612C" w:rsidRDefault="007A612C" w:rsidP="007A612C">
      <w:pPr>
        <w:spacing w:after="0" w:line="240" w:lineRule="auto"/>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N </w:t>
      </w:r>
      <w:proofErr w:type="spellStart"/>
      <w:r w:rsidRPr="007A612C">
        <w:rPr>
          <w:rFonts w:ascii="Times New Roman" w:eastAsia="Times New Roman" w:hAnsi="Times New Roman" w:cs="Times New Roman"/>
          <w:sz w:val="24"/>
          <w:szCs w:val="24"/>
        </w:rPr>
        <w:t>Engl</w:t>
      </w:r>
      <w:proofErr w:type="spellEnd"/>
      <w:r w:rsidRPr="007A612C">
        <w:rPr>
          <w:rFonts w:ascii="Times New Roman" w:eastAsia="Times New Roman" w:hAnsi="Times New Roman" w:cs="Times New Roman"/>
          <w:sz w:val="24"/>
          <w:szCs w:val="24"/>
        </w:rPr>
        <w:t xml:space="preserve"> J Med 2010; 363:1335-1340</w:t>
      </w:r>
      <w:hyperlink r:id="rId4" w:tgtFrame="_blank" w:history="1">
        <w:r w:rsidRPr="007A612C">
          <w:rPr>
            <w:rFonts w:ascii="Times New Roman" w:eastAsia="Times New Roman" w:hAnsi="Times New Roman" w:cs="Times New Roman"/>
            <w:color w:val="0066CC"/>
            <w:sz w:val="24"/>
            <w:szCs w:val="24"/>
            <w:u w:val="single"/>
          </w:rPr>
          <w:t>September 30, 2010</w:t>
        </w:r>
      </w:hyperlink>
    </w:p>
    <w:p w:rsidR="007A612C" w:rsidRPr="007A612C" w:rsidRDefault="007A612C" w:rsidP="007A612C">
      <w:pPr>
        <w:spacing w:after="0" w:line="240" w:lineRule="auto"/>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Summary </w:t>
      </w:r>
    </w:p>
    <w:p w:rsidR="007A612C" w:rsidRPr="007A612C" w:rsidRDefault="007A612C" w:rsidP="007A612C">
      <w:pPr>
        <w:spacing w:after="0" w:line="240" w:lineRule="auto"/>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Article </w:t>
      </w:r>
    </w:p>
    <w:p w:rsidR="007A612C" w:rsidRPr="007A612C" w:rsidRDefault="007A612C" w:rsidP="007A612C">
      <w:pPr>
        <w:spacing w:after="0" w:line="240" w:lineRule="auto"/>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References </w:t>
      </w:r>
    </w:p>
    <w:p w:rsidR="007A612C" w:rsidRPr="007A612C" w:rsidRDefault="007A612C" w:rsidP="007A612C">
      <w:pPr>
        <w:spacing w:after="0" w:line="240" w:lineRule="auto"/>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Citing Articles (2) </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r w:rsidRPr="007A612C">
        <w:rPr>
          <w:rFonts w:ascii="Times New Roman" w:eastAsia="Times New Roman" w:hAnsi="Times New Roman" w:cs="Times New Roman"/>
          <w:vanish/>
          <w:sz w:val="24"/>
          <w:szCs w:val="24"/>
        </w:rPr>
        <w:t>De novo mutations are a cause of sporadic disease, but little is known about the developmental timing of such mutations. We studied concordant and discordant monozygous twins with de novo mutations in the sodium channel α1 subunit gene (</w:t>
      </w:r>
      <w:r w:rsidRPr="007A612C">
        <w:rPr>
          <w:rFonts w:ascii="Times New Roman" w:eastAsia="Times New Roman" w:hAnsi="Times New Roman" w:cs="Times New Roman"/>
          <w:i/>
          <w:iCs/>
          <w:vanish/>
          <w:sz w:val="24"/>
          <w:szCs w:val="24"/>
        </w:rPr>
        <w:t>SCN1A</w:t>
      </w:r>
      <w:r w:rsidRPr="007A612C">
        <w:rPr>
          <w:rFonts w:ascii="Times New Roman" w:eastAsia="Times New Roman" w:hAnsi="Times New Roman" w:cs="Times New Roman"/>
          <w:vanish/>
          <w:sz w:val="24"/>
          <w:szCs w:val="24"/>
        </w:rPr>
        <w:t xml:space="preserve">) causing Dravet's syndrome, a severe epileptic encephalopathy. On the basis of our findings and the literature on mosaic cases, we conclude that de novo mutations in </w:t>
      </w:r>
      <w:r w:rsidRPr="007A612C">
        <w:rPr>
          <w:rFonts w:ascii="Times New Roman" w:eastAsia="Times New Roman" w:hAnsi="Times New Roman" w:cs="Times New Roman"/>
          <w:i/>
          <w:iCs/>
          <w:vanish/>
          <w:sz w:val="24"/>
          <w:szCs w:val="24"/>
        </w:rPr>
        <w:t>SCN1A</w:t>
      </w:r>
      <w:r w:rsidRPr="007A612C">
        <w:rPr>
          <w:rFonts w:ascii="Times New Roman" w:eastAsia="Times New Roman" w:hAnsi="Times New Roman" w:cs="Times New Roman"/>
          <w:vanish/>
          <w:sz w:val="24"/>
          <w:szCs w:val="24"/>
        </w:rPr>
        <w:t xml:space="preserve"> may occur at any time, from the premorula stage of the embryo (causing disease in the subject) to adulthood (with mutations in the germ-line cells of parents causing disease in offspring).</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hyperlink r:id="rId5" w:anchor="Top" w:tgtFrame="_blank" w:history="1">
        <w:r w:rsidRPr="007A612C">
          <w:rPr>
            <w:rFonts w:ascii="Times New Roman" w:eastAsia="Times New Roman" w:hAnsi="Times New Roman" w:cs="Times New Roman"/>
            <w:vanish/>
            <w:color w:val="0066CC"/>
            <w:sz w:val="24"/>
            <w:szCs w:val="24"/>
            <w:u w:val="single"/>
          </w:rPr>
          <w:t>Read the Full Article...</w:t>
        </w:r>
      </w:hyperlink>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vanish/>
          <w:sz w:val="27"/>
          <w:szCs w:val="27"/>
        </w:rPr>
      </w:pPr>
      <w:r w:rsidRPr="007A612C">
        <w:rPr>
          <w:rFonts w:ascii="Times New Roman" w:eastAsia="Times New Roman" w:hAnsi="Times New Roman" w:cs="Times New Roman"/>
          <w:b/>
          <w:bCs/>
          <w:vanish/>
          <w:sz w:val="27"/>
          <w:szCs w:val="27"/>
        </w:rPr>
        <w:t>Media in This Article</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r w:rsidRPr="007A612C">
        <w:rPr>
          <w:rFonts w:ascii="Times New Roman" w:eastAsia="Times New Roman" w:hAnsi="Times New Roman" w:cs="Times New Roman"/>
          <w:vanish/>
          <w:sz w:val="24"/>
          <w:szCs w:val="24"/>
        </w:rPr>
        <w:t>Figure 1</w:t>
      </w:r>
      <w:r>
        <w:rPr>
          <w:rFonts w:ascii="Times New Roman" w:eastAsia="Times New Roman" w:hAnsi="Times New Roman" w:cs="Times New Roman"/>
          <w:noProof/>
          <w:vanish/>
          <w:color w:val="0066CC"/>
          <w:sz w:val="24"/>
          <w:szCs w:val="24"/>
        </w:rPr>
        <w:drawing>
          <wp:inline distT="0" distB="0" distL="0" distR="0">
            <wp:extent cx="483235" cy="1052195"/>
            <wp:effectExtent l="19050" t="0" r="0" b="0"/>
            <wp:docPr id="2" name="Picture 2" descr="http://www.nejm.org/na102/home/ACS/publisher/mms/journals/content/nejm/2010/nejm_2010.363.issue-14/nejmoa0910752/production/images/small/nejmoa0910752_f1.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jm.org/na102/home/ACS/publisher/mms/journals/content/nejm/2010/nejm_2010.363.issue-14/nejmoa0910752/production/images/small/nejmoa0910752_f1.gif">
                      <a:hlinkClick r:id="rId6" tgtFrame="_blank"/>
                    </pic:cNvPr>
                    <pic:cNvPicPr>
                      <a:picLocks noChangeAspect="1" noChangeArrowheads="1"/>
                    </pic:cNvPicPr>
                  </pic:nvPicPr>
                  <pic:blipFill>
                    <a:blip r:embed="rId7" cstate="print"/>
                    <a:srcRect/>
                    <a:stretch>
                      <a:fillRect/>
                    </a:stretch>
                  </pic:blipFill>
                  <pic:spPr bwMode="auto">
                    <a:xfrm>
                      <a:off x="0" y="0"/>
                      <a:ext cx="483235" cy="1052195"/>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vanish/>
          <w:sz w:val="24"/>
          <w:szCs w:val="24"/>
        </w:rPr>
        <w:t>DNA Sequencing for a Monozygous Twin Pair Discordant for Dravet's Syndrome.</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r w:rsidRPr="007A612C">
        <w:rPr>
          <w:rFonts w:ascii="Times New Roman" w:eastAsia="Times New Roman" w:hAnsi="Times New Roman" w:cs="Times New Roman"/>
          <w:vanish/>
          <w:sz w:val="24"/>
          <w:szCs w:val="24"/>
        </w:rPr>
        <w:t>Figure 2</w:t>
      </w:r>
      <w:r>
        <w:rPr>
          <w:rFonts w:ascii="Times New Roman" w:eastAsia="Times New Roman" w:hAnsi="Times New Roman" w:cs="Times New Roman"/>
          <w:noProof/>
          <w:vanish/>
          <w:color w:val="0066CC"/>
          <w:sz w:val="24"/>
          <w:szCs w:val="24"/>
        </w:rPr>
        <w:drawing>
          <wp:inline distT="0" distB="0" distL="0" distR="0">
            <wp:extent cx="1052195" cy="750570"/>
            <wp:effectExtent l="19050" t="0" r="0" b="0"/>
            <wp:docPr id="3" name="Picture 3" descr="http://www.nejm.org/na102/home/ACS/publisher/mms/journals/content/nejm/2010/nejm_2010.363.issue-14/nejmoa0910752/production/images/small/nejmoa0910752_f2.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jm.org/na102/home/ACS/publisher/mms/journals/content/nejm/2010/nejm_2010.363.issue-14/nejmoa0910752/production/images/small/nejmoa0910752_f2.gif">
                      <a:hlinkClick r:id="rId8" tgtFrame="_blank"/>
                    </pic:cNvPr>
                    <pic:cNvPicPr>
                      <a:picLocks noChangeAspect="1" noChangeArrowheads="1"/>
                    </pic:cNvPicPr>
                  </pic:nvPicPr>
                  <pic:blipFill>
                    <a:blip r:embed="rId9" cstate="print"/>
                    <a:srcRect/>
                    <a:stretch>
                      <a:fillRect/>
                    </a:stretch>
                  </pic:blipFill>
                  <pic:spPr bwMode="auto">
                    <a:xfrm>
                      <a:off x="0" y="0"/>
                      <a:ext cx="1052195" cy="750570"/>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vanish/>
          <w:sz w:val="24"/>
          <w:szCs w:val="24"/>
        </w:rPr>
        <w:t>Timing of Mutations in Dravet's Syndrome.</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vanish/>
          <w:sz w:val="27"/>
          <w:szCs w:val="27"/>
        </w:rPr>
      </w:pPr>
      <w:r w:rsidRPr="007A612C">
        <w:rPr>
          <w:rFonts w:ascii="Times New Roman" w:eastAsia="Times New Roman" w:hAnsi="Times New Roman" w:cs="Times New Roman"/>
          <w:b/>
          <w:bCs/>
          <w:vanish/>
          <w:sz w:val="27"/>
          <w:szCs w:val="27"/>
        </w:rPr>
        <w:t>Article Activity</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hyperlink r:id="rId10" w:anchor="citedby" w:tgtFrame="_blank" w:history="1">
        <w:r w:rsidRPr="007A612C">
          <w:rPr>
            <w:rFonts w:ascii="Times New Roman" w:eastAsia="Times New Roman" w:hAnsi="Times New Roman" w:cs="Times New Roman"/>
            <w:vanish/>
            <w:color w:val="0066CC"/>
            <w:sz w:val="24"/>
            <w:szCs w:val="24"/>
            <w:u w:val="single"/>
          </w:rPr>
          <w:t>2 articles have cited this article</w:t>
        </w:r>
      </w:hyperlink>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De novo mutations cause sporadic forms of a range of </w:t>
      </w:r>
      <w:proofErr w:type="spellStart"/>
      <w:r w:rsidRPr="007A612C">
        <w:rPr>
          <w:rFonts w:ascii="Times New Roman" w:eastAsia="Times New Roman" w:hAnsi="Times New Roman" w:cs="Times New Roman"/>
          <w:sz w:val="24"/>
          <w:szCs w:val="24"/>
        </w:rPr>
        <w:t>mendelian</w:t>
      </w:r>
      <w:proofErr w:type="spellEnd"/>
      <w:r w:rsidRPr="007A612C">
        <w:rPr>
          <w:rFonts w:ascii="Times New Roman" w:eastAsia="Times New Roman" w:hAnsi="Times New Roman" w:cs="Times New Roman"/>
          <w:sz w:val="24"/>
          <w:szCs w:val="24"/>
        </w:rPr>
        <w:t xml:space="preserve"> disorders, including tuberous sclerosis, neurofibromatosis, achondroplasia</w:t>
      </w:r>
      <w:proofErr w:type="gramStart"/>
      <w:r w:rsidRPr="007A612C">
        <w:rPr>
          <w:rFonts w:ascii="Times New Roman" w:eastAsia="Times New Roman" w:hAnsi="Times New Roman" w:cs="Times New Roman"/>
          <w:sz w:val="24"/>
          <w:szCs w:val="24"/>
        </w:rPr>
        <w:t>,</w:t>
      </w:r>
      <w:proofErr w:type="gramEnd"/>
      <w:r w:rsidRPr="007A612C">
        <w:rPr>
          <w:rFonts w:ascii="Times New Roman" w:eastAsia="Times New Roman" w:hAnsi="Times New Roman" w:cs="Times New Roman"/>
          <w:sz w:val="24"/>
          <w:szCs w:val="24"/>
        </w:rPr>
        <w:fldChar w:fldCharType="begin"/>
      </w:r>
      <w:r w:rsidRPr="007A612C">
        <w:rPr>
          <w:rFonts w:ascii="Times New Roman" w:eastAsia="Times New Roman" w:hAnsi="Times New Roman" w:cs="Times New Roman"/>
          <w:sz w:val="24"/>
          <w:szCs w:val="24"/>
        </w:rPr>
        <w:instrText xml:space="preserve"> HYPERLINK "http://www.nejm.org/doi/full/10.1056/NEJMoa0910752" \l "ref1" \t "_blank" </w:instrText>
      </w:r>
      <w:r w:rsidRPr="007A612C">
        <w:rPr>
          <w:rFonts w:ascii="Times New Roman" w:eastAsia="Times New Roman" w:hAnsi="Times New Roman" w:cs="Times New Roman"/>
          <w:sz w:val="24"/>
          <w:szCs w:val="24"/>
        </w:rPr>
        <w:fldChar w:fldCharType="separate"/>
      </w:r>
      <w:r w:rsidRPr="007A612C">
        <w:rPr>
          <w:rFonts w:ascii="Times New Roman" w:eastAsia="Times New Roman" w:hAnsi="Times New Roman" w:cs="Times New Roman"/>
          <w:color w:val="0066CC"/>
          <w:sz w:val="24"/>
          <w:szCs w:val="24"/>
          <w:u w:val="single"/>
        </w:rPr>
        <w:t>1</w:t>
      </w:r>
      <w:r w:rsidRPr="007A612C">
        <w:rPr>
          <w:rFonts w:ascii="Times New Roman" w:eastAsia="Times New Roman" w:hAnsi="Times New Roman" w:cs="Times New Roman"/>
          <w:sz w:val="24"/>
          <w:szCs w:val="24"/>
        </w:rPr>
        <w:fldChar w:fldCharType="end"/>
      </w:r>
      <w:r w:rsidRPr="007A612C">
        <w:rPr>
          <w:rFonts w:ascii="Times New Roman" w:eastAsia="Times New Roman" w:hAnsi="Times New Roman" w:cs="Times New Roman"/>
          <w:sz w:val="24"/>
          <w:szCs w:val="24"/>
        </w:rPr>
        <w:t xml:space="preserve"> and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Recently, de novo copy-number variations have been identified as a cause of sporadic cases of some </w:t>
      </w:r>
      <w:proofErr w:type="spellStart"/>
      <w:proofErr w:type="gramStart"/>
      <w:r w:rsidRPr="007A612C">
        <w:rPr>
          <w:rFonts w:ascii="Times New Roman" w:eastAsia="Times New Roman" w:hAnsi="Times New Roman" w:cs="Times New Roman"/>
          <w:sz w:val="24"/>
          <w:szCs w:val="24"/>
        </w:rPr>
        <w:t>mendelian</w:t>
      </w:r>
      <w:proofErr w:type="spellEnd"/>
      <w:proofErr w:type="gramEnd"/>
      <w:r w:rsidRPr="007A612C">
        <w:rPr>
          <w:rFonts w:ascii="Times New Roman" w:eastAsia="Times New Roman" w:hAnsi="Times New Roman" w:cs="Times New Roman"/>
          <w:sz w:val="24"/>
          <w:szCs w:val="24"/>
        </w:rPr>
        <w:t xml:space="preserve"> disorders and perhaps more commonly as susceptibility alleles for complex disorders. Thus, de novo mutagenesis is an important mechanism in human disease and probably explains an appreciable fraction of sporadic and apparently </w:t>
      </w:r>
      <w:proofErr w:type="spellStart"/>
      <w:r w:rsidRPr="007A612C">
        <w:rPr>
          <w:rFonts w:ascii="Times New Roman" w:eastAsia="Times New Roman" w:hAnsi="Times New Roman" w:cs="Times New Roman"/>
          <w:sz w:val="24"/>
          <w:szCs w:val="24"/>
        </w:rPr>
        <w:t>nongenetic</w:t>
      </w:r>
      <w:proofErr w:type="spellEnd"/>
      <w:r w:rsidRPr="007A612C">
        <w:rPr>
          <w:rFonts w:ascii="Times New Roman" w:eastAsia="Times New Roman" w:hAnsi="Times New Roman" w:cs="Times New Roman"/>
          <w:sz w:val="24"/>
          <w:szCs w:val="24"/>
        </w:rPr>
        <w:t xml:space="preserve"> disorders.</w:t>
      </w:r>
      <w:hyperlink r:id="rId11" w:anchor="ref1" w:tgtFrame="_blank" w:history="1">
        <w:r w:rsidRPr="007A612C">
          <w:rPr>
            <w:rFonts w:ascii="Times New Roman" w:eastAsia="Times New Roman" w:hAnsi="Times New Roman" w:cs="Times New Roman"/>
            <w:color w:val="0066CC"/>
            <w:sz w:val="24"/>
            <w:szCs w:val="24"/>
            <w:u w:val="single"/>
          </w:rPr>
          <w:t>1</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Twins represent a unique resource for studying the timing of de novo mutagenesis. There are numerous case reports of genetic disorders in which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are </w:t>
      </w:r>
      <w:proofErr w:type="spellStart"/>
      <w:r w:rsidRPr="007A612C">
        <w:rPr>
          <w:rFonts w:ascii="Times New Roman" w:eastAsia="Times New Roman" w:hAnsi="Times New Roman" w:cs="Times New Roman"/>
          <w:sz w:val="24"/>
          <w:szCs w:val="24"/>
        </w:rPr>
        <w:t>phenotypically</w:t>
      </w:r>
      <w:proofErr w:type="spellEnd"/>
      <w:r w:rsidRPr="007A612C">
        <w:rPr>
          <w:rFonts w:ascii="Times New Roman" w:eastAsia="Times New Roman" w:hAnsi="Times New Roman" w:cs="Times New Roman"/>
          <w:sz w:val="24"/>
          <w:szCs w:val="24"/>
        </w:rPr>
        <w:t xml:space="preserve"> discordant. Some of these disorders involve chromosomal syndromes (e.g., </w:t>
      </w:r>
      <w:proofErr w:type="spellStart"/>
      <w:r w:rsidRPr="007A612C">
        <w:rPr>
          <w:rFonts w:ascii="Times New Roman" w:eastAsia="Times New Roman" w:hAnsi="Times New Roman" w:cs="Times New Roman"/>
          <w:sz w:val="24"/>
          <w:szCs w:val="24"/>
        </w:rPr>
        <w:t>trisomies</w:t>
      </w:r>
      <w:proofErr w:type="spellEnd"/>
      <w:r w:rsidRPr="007A612C">
        <w:rPr>
          <w:rFonts w:ascii="Times New Roman" w:eastAsia="Times New Roman" w:hAnsi="Times New Roman" w:cs="Times New Roman"/>
          <w:sz w:val="24"/>
          <w:szCs w:val="24"/>
        </w:rPr>
        <w:t>) and disorders known or postulated to be caused by conventional mutations or epigenetic mechanisms.</w:t>
      </w:r>
      <w:hyperlink r:id="rId12" w:anchor="ref2" w:tgtFrame="_blank" w:history="1">
        <w:r w:rsidRPr="007A612C">
          <w:rPr>
            <w:rFonts w:ascii="Times New Roman" w:eastAsia="Times New Roman" w:hAnsi="Times New Roman" w:cs="Times New Roman"/>
            <w:color w:val="0066CC"/>
            <w:sz w:val="24"/>
            <w:szCs w:val="24"/>
            <w:u w:val="single"/>
          </w:rPr>
          <w:t>2</w:t>
        </w:r>
      </w:hyperlink>
      <w:r w:rsidRPr="007A612C">
        <w:rPr>
          <w:rFonts w:ascii="Times New Roman" w:eastAsia="Times New Roman" w:hAnsi="Times New Roman" w:cs="Times New Roman"/>
          <w:sz w:val="24"/>
          <w:szCs w:val="24"/>
        </w:rPr>
        <w:t xml:space="preserve"> There are only two case reports of single-gene-point mutations found only in the affected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leading to phenotypic and genotypic discordance within the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 but the timing of these de novo mutations has not been clearly determined.</w:t>
      </w:r>
      <w:hyperlink r:id="rId13" w:anchor="ref3" w:tgtFrame="_blank" w:history="1">
        <w:r w:rsidRPr="007A612C">
          <w:rPr>
            <w:rFonts w:ascii="Times New Roman" w:eastAsia="Times New Roman" w:hAnsi="Times New Roman" w:cs="Times New Roman"/>
            <w:color w:val="0066CC"/>
            <w:sz w:val="24"/>
            <w:szCs w:val="24"/>
            <w:u w:val="single"/>
          </w:rPr>
          <w:t>3</w:t>
        </w:r>
        <w:proofErr w:type="gramStart"/>
        <w:r w:rsidRPr="007A612C">
          <w:rPr>
            <w:rFonts w:ascii="Times New Roman" w:eastAsia="Times New Roman" w:hAnsi="Times New Roman" w:cs="Times New Roman"/>
            <w:color w:val="0066CC"/>
            <w:sz w:val="24"/>
            <w:szCs w:val="24"/>
            <w:u w:val="single"/>
          </w:rPr>
          <w:t>,4</w:t>
        </w:r>
        <w:proofErr w:type="gramEnd"/>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or severe </w:t>
      </w:r>
      <w:proofErr w:type="spellStart"/>
      <w:r w:rsidRPr="007A612C">
        <w:rPr>
          <w:rFonts w:ascii="Times New Roman" w:eastAsia="Times New Roman" w:hAnsi="Times New Roman" w:cs="Times New Roman"/>
          <w:sz w:val="24"/>
          <w:szCs w:val="24"/>
        </w:rPr>
        <w:t>myoclonic</w:t>
      </w:r>
      <w:proofErr w:type="spellEnd"/>
      <w:r w:rsidRPr="007A612C">
        <w:rPr>
          <w:rFonts w:ascii="Times New Roman" w:eastAsia="Times New Roman" w:hAnsi="Times New Roman" w:cs="Times New Roman"/>
          <w:sz w:val="24"/>
          <w:szCs w:val="24"/>
        </w:rPr>
        <w:t xml:space="preserve"> epilepsy of infancy, is usually a sporadic disease yet is known to be a genetic disorder. The syndrome is characterized by an onset at approximately 6 months, with prolonged convulsions or </w:t>
      </w:r>
      <w:proofErr w:type="spellStart"/>
      <w:r w:rsidRPr="007A612C">
        <w:rPr>
          <w:rFonts w:ascii="Times New Roman" w:eastAsia="Times New Roman" w:hAnsi="Times New Roman" w:cs="Times New Roman"/>
          <w:sz w:val="24"/>
          <w:szCs w:val="24"/>
        </w:rPr>
        <w:t>hemiconvulsions</w:t>
      </w:r>
      <w:proofErr w:type="spellEnd"/>
      <w:r w:rsidRPr="007A612C">
        <w:rPr>
          <w:rFonts w:ascii="Times New Roman" w:eastAsia="Times New Roman" w:hAnsi="Times New Roman" w:cs="Times New Roman"/>
          <w:sz w:val="24"/>
          <w:szCs w:val="24"/>
        </w:rPr>
        <w:t>, often with fever. Other seizure types usually appear, and there is slowing in psychomotor development. The usual long-term outcome includes intellectual disability and intractable epilepsy.</w:t>
      </w:r>
      <w:hyperlink r:id="rId14" w:anchor="ref5" w:tgtFrame="_blank" w:history="1">
        <w:r w:rsidRPr="007A612C">
          <w:rPr>
            <w:rFonts w:ascii="Times New Roman" w:eastAsia="Times New Roman" w:hAnsi="Times New Roman" w:cs="Times New Roman"/>
            <w:color w:val="0066CC"/>
            <w:sz w:val="24"/>
            <w:szCs w:val="24"/>
            <w:u w:val="single"/>
          </w:rPr>
          <w:t>5</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Heterozygous mutations in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are found in 70 to 80% of patients with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w:t>
      </w:r>
      <w:hyperlink r:id="rId15" w:anchor="ref6" w:tgtFrame="_blank" w:history="1">
        <w:r w:rsidRPr="007A612C">
          <w:rPr>
            <w:rFonts w:ascii="Times New Roman" w:eastAsia="Times New Roman" w:hAnsi="Times New Roman" w:cs="Times New Roman"/>
            <w:color w:val="0066CC"/>
            <w:sz w:val="24"/>
            <w:szCs w:val="24"/>
            <w:u w:val="single"/>
          </w:rPr>
          <w:t>6</w:t>
        </w:r>
        <w:proofErr w:type="gramStart"/>
        <w:r w:rsidRPr="007A612C">
          <w:rPr>
            <w:rFonts w:ascii="Times New Roman" w:eastAsia="Times New Roman" w:hAnsi="Times New Roman" w:cs="Times New Roman"/>
            <w:color w:val="0066CC"/>
            <w:sz w:val="24"/>
            <w:szCs w:val="24"/>
            <w:u w:val="single"/>
          </w:rPr>
          <w:t>,7</w:t>
        </w:r>
        <w:proofErr w:type="gramEnd"/>
      </w:hyperlink>
      <w:r w:rsidRPr="007A612C">
        <w:rPr>
          <w:rFonts w:ascii="Times New Roman" w:eastAsia="Times New Roman" w:hAnsi="Times New Roman" w:cs="Times New Roman"/>
          <w:sz w:val="24"/>
          <w:szCs w:val="24"/>
        </w:rPr>
        <w:t xml:space="preserve"> Of these mutations, 95% are de novo, which explains why siblings or parents are usually unaffected.</w:t>
      </w:r>
      <w:hyperlink r:id="rId16" w:anchor="ref8" w:tgtFrame="_blank" w:history="1">
        <w:r w:rsidRPr="007A612C">
          <w:rPr>
            <w:rFonts w:ascii="Times New Roman" w:eastAsia="Times New Roman" w:hAnsi="Times New Roman" w:cs="Times New Roman"/>
            <w:color w:val="0066CC"/>
            <w:sz w:val="24"/>
            <w:szCs w:val="24"/>
            <w:u w:val="single"/>
          </w:rPr>
          <w:t>8</w:t>
        </w:r>
        <w:proofErr w:type="gramStart"/>
        <w:r w:rsidRPr="007A612C">
          <w:rPr>
            <w:rFonts w:ascii="Times New Roman" w:eastAsia="Times New Roman" w:hAnsi="Times New Roman" w:cs="Times New Roman"/>
            <w:color w:val="0066CC"/>
            <w:sz w:val="24"/>
            <w:szCs w:val="24"/>
            <w:u w:val="single"/>
          </w:rPr>
          <w:t>,9</w:t>
        </w:r>
        <w:proofErr w:type="gramEnd"/>
      </w:hyperlink>
      <w:r w:rsidRPr="007A612C">
        <w:rPr>
          <w:rFonts w:ascii="Times New Roman" w:eastAsia="Times New Roman" w:hAnsi="Times New Roman" w:cs="Times New Roman"/>
          <w:sz w:val="24"/>
          <w:szCs w:val="24"/>
        </w:rPr>
        <w:t xml:space="preserve"> The absence of mutations in parental DNA, obtained from peripheral-blood lymphocytes, led to the inference that the usual mechanism involves a spontaneous mutation in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in parental </w:t>
      </w:r>
      <w:proofErr w:type="spellStart"/>
      <w:r w:rsidRPr="007A612C">
        <w:rPr>
          <w:rFonts w:ascii="Times New Roman" w:eastAsia="Times New Roman" w:hAnsi="Times New Roman" w:cs="Times New Roman"/>
          <w:sz w:val="24"/>
          <w:szCs w:val="24"/>
        </w:rPr>
        <w:t>gonadal</w:t>
      </w:r>
      <w:proofErr w:type="spellEnd"/>
      <w:r w:rsidRPr="007A612C">
        <w:rPr>
          <w:rFonts w:ascii="Times New Roman" w:eastAsia="Times New Roman" w:hAnsi="Times New Roman" w:cs="Times New Roman"/>
          <w:sz w:val="24"/>
          <w:szCs w:val="24"/>
        </w:rPr>
        <w:t xml:space="preserve"> tissue (i.e., testicular or ovarian cells). We sought to determine the timing of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 by analyzing different embryologic tissue lineages in a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pair of twins who were discordant for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Methods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Clinical Studies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lastRenderedPageBreak/>
        <w:t>The Australian epilepsy twin database was established in 1988; data were obtained from twin registries or referral, as described previously.</w:t>
      </w:r>
      <w:hyperlink r:id="rId17" w:anchor="ref10" w:tgtFrame="_blank" w:history="1">
        <w:r w:rsidRPr="007A612C">
          <w:rPr>
            <w:rFonts w:ascii="Times New Roman" w:eastAsia="Times New Roman" w:hAnsi="Times New Roman" w:cs="Times New Roman"/>
            <w:color w:val="0066CC"/>
            <w:sz w:val="24"/>
            <w:szCs w:val="24"/>
            <w:u w:val="single"/>
          </w:rPr>
          <w:t>10</w:t>
        </w:r>
      </w:hyperlink>
      <w:r w:rsidRPr="007A612C">
        <w:rPr>
          <w:rFonts w:ascii="Times New Roman" w:eastAsia="Times New Roman" w:hAnsi="Times New Roman" w:cs="Times New Roman"/>
          <w:sz w:val="24"/>
          <w:szCs w:val="24"/>
        </w:rPr>
        <w:t xml:space="preserve"> The database includes 372 twin pairs in which one or both twins had seizures, with 169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and 203 </w:t>
      </w:r>
      <w:proofErr w:type="spellStart"/>
      <w:r w:rsidRPr="007A612C">
        <w:rPr>
          <w:rFonts w:ascii="Times New Roman" w:eastAsia="Times New Roman" w:hAnsi="Times New Roman" w:cs="Times New Roman"/>
          <w:sz w:val="24"/>
          <w:szCs w:val="24"/>
        </w:rPr>
        <w:t>dizygous</w:t>
      </w:r>
      <w:proofErr w:type="spellEnd"/>
      <w:r w:rsidRPr="007A612C">
        <w:rPr>
          <w:rFonts w:ascii="Times New Roman" w:eastAsia="Times New Roman" w:hAnsi="Times New Roman" w:cs="Times New Roman"/>
          <w:sz w:val="24"/>
          <w:szCs w:val="24"/>
        </w:rPr>
        <w:t xml:space="preserve"> pairs.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was identified in three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two of the twin pairs were concordant and one twin pair was discordant for the syndrome. We have previously reported some of the clinical and molecular characteristics of these twins.</w:t>
      </w:r>
      <w:hyperlink r:id="rId18" w:anchor="ref7" w:tgtFrame="_blank" w:history="1">
        <w:r w:rsidRPr="007A612C">
          <w:rPr>
            <w:rFonts w:ascii="Times New Roman" w:eastAsia="Times New Roman" w:hAnsi="Times New Roman" w:cs="Times New Roman"/>
            <w:color w:val="0066CC"/>
            <w:sz w:val="24"/>
            <w:szCs w:val="24"/>
            <w:u w:val="single"/>
          </w:rPr>
          <w:t>7</w:t>
        </w:r>
        <w:proofErr w:type="gramStart"/>
        <w:r w:rsidRPr="007A612C">
          <w:rPr>
            <w:rFonts w:ascii="Times New Roman" w:eastAsia="Times New Roman" w:hAnsi="Times New Roman" w:cs="Times New Roman"/>
            <w:color w:val="0066CC"/>
            <w:sz w:val="24"/>
            <w:szCs w:val="24"/>
            <w:u w:val="single"/>
          </w:rPr>
          <w:t>,11</w:t>
        </w:r>
        <w:proofErr w:type="gramEnd"/>
      </w:hyperlink>
      <w:r w:rsidRPr="007A612C">
        <w:rPr>
          <w:rFonts w:ascii="Times New Roman" w:eastAsia="Times New Roman" w:hAnsi="Times New Roman" w:cs="Times New Roman"/>
          <w:sz w:val="24"/>
          <w:szCs w:val="24"/>
        </w:rPr>
        <w:t xml:space="preserve"> The Human Research Ethics Committee of Austin Health approved the study, and written informed consent was obtained from patients or, when appropriate, their parents or legal guardians.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proofErr w:type="spellStart"/>
      <w:r w:rsidRPr="007A612C">
        <w:rPr>
          <w:rFonts w:ascii="Times New Roman" w:eastAsia="Times New Roman" w:hAnsi="Times New Roman" w:cs="Times New Roman"/>
          <w:b/>
          <w:bCs/>
          <w:sz w:val="27"/>
          <w:szCs w:val="27"/>
        </w:rPr>
        <w:t>Zygosity</w:t>
      </w:r>
      <w:proofErr w:type="spellEnd"/>
      <w:r w:rsidRPr="007A612C">
        <w:rPr>
          <w:rFonts w:ascii="Times New Roman" w:eastAsia="Times New Roman" w:hAnsi="Times New Roman" w:cs="Times New Roman"/>
          <w:b/>
          <w:bCs/>
          <w:sz w:val="27"/>
          <w:szCs w:val="27"/>
        </w:rPr>
        <w:t xml:space="preserve"> Determination</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Lymphocyte-derived genomic DNA was examined with the use of nine independent polymorphic markers (D13S317, D18S51, D21S11, D3S1358, D5S818, D7S820, D8S1179, FGA, and </w:t>
      </w:r>
      <w:proofErr w:type="spellStart"/>
      <w:r w:rsidRPr="007A612C">
        <w:rPr>
          <w:rFonts w:ascii="Times New Roman" w:eastAsia="Times New Roman" w:hAnsi="Times New Roman" w:cs="Times New Roman"/>
          <w:sz w:val="24"/>
          <w:szCs w:val="24"/>
        </w:rPr>
        <w:t>vWA</w:t>
      </w:r>
      <w:proofErr w:type="spellEnd"/>
      <w:r w:rsidRPr="007A612C">
        <w:rPr>
          <w:rFonts w:ascii="Times New Roman" w:eastAsia="Times New Roman" w:hAnsi="Times New Roman" w:cs="Times New Roman"/>
          <w:sz w:val="24"/>
          <w:szCs w:val="24"/>
        </w:rPr>
        <w:t xml:space="preserve">). In the discordant twin pair, these markers were also examined in genomic DNA from </w:t>
      </w:r>
      <w:proofErr w:type="spellStart"/>
      <w:r w:rsidRPr="007A612C">
        <w:rPr>
          <w:rFonts w:ascii="Times New Roman" w:eastAsia="Times New Roman" w:hAnsi="Times New Roman" w:cs="Times New Roman"/>
          <w:sz w:val="24"/>
          <w:szCs w:val="24"/>
        </w:rPr>
        <w:t>buccal</w:t>
      </w:r>
      <w:proofErr w:type="spellEnd"/>
      <w:r w:rsidRPr="007A612C">
        <w:rPr>
          <w:rFonts w:ascii="Times New Roman" w:eastAsia="Times New Roman" w:hAnsi="Times New Roman" w:cs="Times New Roman"/>
          <w:sz w:val="24"/>
          <w:szCs w:val="24"/>
        </w:rPr>
        <w:t xml:space="preserve"> cells (to search for evidence of </w:t>
      </w:r>
      <w:proofErr w:type="spellStart"/>
      <w:r w:rsidRPr="007A612C">
        <w:rPr>
          <w:rFonts w:ascii="Times New Roman" w:eastAsia="Times New Roman" w:hAnsi="Times New Roman" w:cs="Times New Roman"/>
          <w:sz w:val="24"/>
          <w:szCs w:val="24"/>
        </w:rPr>
        <w:t>chimerism</w:t>
      </w:r>
      <w:proofErr w:type="spellEnd"/>
      <w:r w:rsidRPr="007A612C">
        <w:rPr>
          <w:rFonts w:ascii="Times New Roman" w:eastAsia="Times New Roman" w:hAnsi="Times New Roman" w:cs="Times New Roman"/>
          <w:sz w:val="24"/>
          <w:szCs w:val="24"/>
        </w:rPr>
        <w:t xml:space="preserve">), and 10 additional polymorphic markers (D2S2290, D4S2935, D5S422, D8S1799, D9S260, D10S580, D14S1065, D15S119, D16S3034, and D19S928) were tested in lymphocyte DNA; these additional 10 markers provide a stronger test of </w:t>
      </w:r>
      <w:proofErr w:type="spellStart"/>
      <w:r w:rsidRPr="007A612C">
        <w:rPr>
          <w:rFonts w:ascii="Times New Roman" w:eastAsia="Times New Roman" w:hAnsi="Times New Roman" w:cs="Times New Roman"/>
          <w:sz w:val="24"/>
          <w:szCs w:val="24"/>
        </w:rPr>
        <w:t>monozygosity</w:t>
      </w:r>
      <w:proofErr w:type="spellEnd"/>
      <w:r w:rsidRPr="007A612C">
        <w:rPr>
          <w:rFonts w:ascii="Times New Roman" w:eastAsia="Times New Roman" w:hAnsi="Times New Roman" w:cs="Times New Roman"/>
          <w:sz w:val="24"/>
          <w:szCs w:val="24"/>
        </w:rPr>
        <w:t>.</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 xml:space="preserve">Analysis of </w:t>
      </w:r>
      <w:r w:rsidRPr="007A612C">
        <w:rPr>
          <w:rFonts w:ascii="Times New Roman" w:eastAsia="Times New Roman" w:hAnsi="Times New Roman" w:cs="Times New Roman"/>
          <w:b/>
          <w:bCs/>
          <w:i/>
          <w:iCs/>
          <w:sz w:val="27"/>
          <w:szCs w:val="27"/>
        </w:rPr>
        <w:t>SCN1A</w:t>
      </w:r>
      <w:r w:rsidRPr="007A612C">
        <w:rPr>
          <w:rFonts w:ascii="Times New Roman" w:eastAsia="Times New Roman" w:hAnsi="Times New Roman" w:cs="Times New Roman"/>
          <w:b/>
          <w:bCs/>
          <w:sz w:val="27"/>
          <w:szCs w:val="27"/>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Mutations in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in genomic DNA from lymphocytes were sought in twin </w:t>
      </w:r>
      <w:proofErr w:type="spellStart"/>
      <w:r w:rsidRPr="007A612C">
        <w:rPr>
          <w:rFonts w:ascii="Times New Roman" w:eastAsia="Times New Roman" w:hAnsi="Times New Roman" w:cs="Times New Roman"/>
          <w:sz w:val="24"/>
          <w:szCs w:val="24"/>
        </w:rPr>
        <w:t>probands</w:t>
      </w:r>
      <w:proofErr w:type="spellEnd"/>
      <w:r w:rsidRPr="007A612C">
        <w:rPr>
          <w:rFonts w:ascii="Times New Roman" w:eastAsia="Times New Roman" w:hAnsi="Times New Roman" w:cs="Times New Roman"/>
          <w:sz w:val="24"/>
          <w:szCs w:val="24"/>
        </w:rPr>
        <w:t>, as described previously.</w:t>
      </w:r>
      <w:hyperlink r:id="rId19" w:anchor="ref7" w:tgtFrame="_blank" w:history="1">
        <w:r w:rsidRPr="007A612C">
          <w:rPr>
            <w:rFonts w:ascii="Times New Roman" w:eastAsia="Times New Roman" w:hAnsi="Times New Roman" w:cs="Times New Roman"/>
            <w:color w:val="0066CC"/>
            <w:sz w:val="24"/>
            <w:szCs w:val="24"/>
            <w:u w:val="single"/>
          </w:rPr>
          <w:t>7</w:t>
        </w:r>
      </w:hyperlink>
      <w:r w:rsidRPr="007A612C">
        <w:rPr>
          <w:rFonts w:ascii="Times New Roman" w:eastAsia="Times New Roman" w:hAnsi="Times New Roman" w:cs="Times New Roman"/>
          <w:sz w:val="24"/>
          <w:szCs w:val="24"/>
        </w:rPr>
        <w:t xml:space="preserve"> In the discordant twin pair, DNA was also extracted from cheek cells, hair-follicle cells, fibroblasts derived from skin-biopsy samples, and cell lines derived from olfactory </w:t>
      </w:r>
      <w:proofErr w:type="spellStart"/>
      <w:r w:rsidRPr="007A612C">
        <w:rPr>
          <w:rFonts w:ascii="Times New Roman" w:eastAsia="Times New Roman" w:hAnsi="Times New Roman" w:cs="Times New Roman"/>
          <w:sz w:val="24"/>
          <w:szCs w:val="24"/>
        </w:rPr>
        <w:t>neuroepithelium</w:t>
      </w:r>
      <w:proofErr w:type="spellEnd"/>
      <w:r w:rsidRPr="007A612C">
        <w:rPr>
          <w:rFonts w:ascii="Times New Roman" w:eastAsia="Times New Roman" w:hAnsi="Times New Roman" w:cs="Times New Roman"/>
          <w:sz w:val="24"/>
          <w:szCs w:val="24"/>
        </w:rPr>
        <w:t xml:space="preserve">. Upper olfactory mucosa was extracted from a nasal-biopsy specimen obtained by an otolaryngologist after the administration of local anesthesia. This tissue was dissociated and grown in serum-free medium with epidermal growth factor and basic fibroblast growth factor to produce </w:t>
      </w:r>
      <w:proofErr w:type="spellStart"/>
      <w:r w:rsidRPr="007A612C">
        <w:rPr>
          <w:rFonts w:ascii="Times New Roman" w:eastAsia="Times New Roman" w:hAnsi="Times New Roman" w:cs="Times New Roman"/>
          <w:sz w:val="24"/>
          <w:szCs w:val="24"/>
        </w:rPr>
        <w:t>neurospheres</w:t>
      </w:r>
      <w:proofErr w:type="spellEnd"/>
      <w:r w:rsidRPr="007A612C">
        <w:rPr>
          <w:rFonts w:ascii="Times New Roman" w:eastAsia="Times New Roman" w:hAnsi="Times New Roman" w:cs="Times New Roman"/>
          <w:sz w:val="24"/>
          <w:szCs w:val="24"/>
        </w:rPr>
        <w:t xml:space="preserve"> (phase-bright spheroids containing neural stem cells and neural progenitors), as described previously.</w:t>
      </w:r>
      <w:hyperlink r:id="rId20" w:anchor="ref12" w:tgtFrame="_blank" w:history="1">
        <w:r w:rsidRPr="007A612C">
          <w:rPr>
            <w:rFonts w:ascii="Times New Roman" w:eastAsia="Times New Roman" w:hAnsi="Times New Roman" w:cs="Times New Roman"/>
            <w:color w:val="0066CC"/>
            <w:sz w:val="24"/>
            <w:szCs w:val="24"/>
            <w:u w:val="single"/>
          </w:rPr>
          <w:t>12</w:t>
        </w:r>
      </w:hyperlink>
      <w:r w:rsidRPr="007A612C">
        <w:rPr>
          <w:rFonts w:ascii="Times New Roman" w:eastAsia="Times New Roman" w:hAnsi="Times New Roman" w:cs="Times New Roman"/>
          <w:sz w:val="24"/>
          <w:szCs w:val="24"/>
        </w:rPr>
        <w:t xml:space="preserve"> </w:t>
      </w:r>
      <w:proofErr w:type="spellStart"/>
      <w:r w:rsidRPr="007A612C">
        <w:rPr>
          <w:rFonts w:ascii="Times New Roman" w:eastAsia="Times New Roman" w:hAnsi="Times New Roman" w:cs="Times New Roman"/>
          <w:sz w:val="24"/>
          <w:szCs w:val="24"/>
        </w:rPr>
        <w:t>Neurospheres</w:t>
      </w:r>
      <w:proofErr w:type="spellEnd"/>
      <w:r w:rsidRPr="007A612C">
        <w:rPr>
          <w:rFonts w:ascii="Times New Roman" w:eastAsia="Times New Roman" w:hAnsi="Times New Roman" w:cs="Times New Roman"/>
          <w:sz w:val="24"/>
          <w:szCs w:val="24"/>
        </w:rPr>
        <w:t xml:space="preserve"> were dissociated, and these </w:t>
      </w:r>
      <w:proofErr w:type="spellStart"/>
      <w:r w:rsidRPr="007A612C">
        <w:rPr>
          <w:rFonts w:ascii="Times New Roman" w:eastAsia="Times New Roman" w:hAnsi="Times New Roman" w:cs="Times New Roman"/>
          <w:sz w:val="24"/>
          <w:szCs w:val="24"/>
        </w:rPr>
        <w:t>neurosphere</w:t>
      </w:r>
      <w:proofErr w:type="spellEnd"/>
      <w:r w:rsidRPr="007A612C">
        <w:rPr>
          <w:rFonts w:ascii="Times New Roman" w:eastAsia="Times New Roman" w:hAnsi="Times New Roman" w:cs="Times New Roman"/>
          <w:sz w:val="24"/>
          <w:szCs w:val="24"/>
        </w:rPr>
        <w:t>-derived cells were grown as cell lines in 10% serum.</w:t>
      </w:r>
      <w:hyperlink r:id="rId21" w:anchor="ref12" w:tgtFrame="_blank" w:history="1">
        <w:r w:rsidRPr="007A612C">
          <w:rPr>
            <w:rFonts w:ascii="Times New Roman" w:eastAsia="Times New Roman" w:hAnsi="Times New Roman" w:cs="Times New Roman"/>
            <w:color w:val="0066CC"/>
            <w:sz w:val="24"/>
            <w:szCs w:val="24"/>
            <w:u w:val="single"/>
          </w:rPr>
          <w:t>12</w:t>
        </w:r>
      </w:hyperlink>
      <w:r w:rsidRPr="007A612C">
        <w:rPr>
          <w:rFonts w:ascii="Times New Roman" w:eastAsia="Times New Roman" w:hAnsi="Times New Roman" w:cs="Times New Roman"/>
          <w:sz w:val="24"/>
          <w:szCs w:val="24"/>
        </w:rPr>
        <w:t xml:space="preserve"> Genomic DNA was extracted from these </w:t>
      </w:r>
      <w:proofErr w:type="spellStart"/>
      <w:r w:rsidRPr="007A612C">
        <w:rPr>
          <w:rFonts w:ascii="Times New Roman" w:eastAsia="Times New Roman" w:hAnsi="Times New Roman" w:cs="Times New Roman"/>
          <w:sz w:val="24"/>
          <w:szCs w:val="24"/>
        </w:rPr>
        <w:t>neurosphere</w:t>
      </w:r>
      <w:proofErr w:type="spellEnd"/>
      <w:r w:rsidRPr="007A612C">
        <w:rPr>
          <w:rFonts w:ascii="Times New Roman" w:eastAsia="Times New Roman" w:hAnsi="Times New Roman" w:cs="Times New Roman"/>
          <w:sz w:val="24"/>
          <w:szCs w:val="24"/>
        </w:rPr>
        <w:t>-derived cell lines.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Genetic Analyses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To search for the presence of cell populations carrying an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 in apparently unaffected subjects, primer </w:t>
      </w:r>
      <w:proofErr w:type="gramStart"/>
      <w:r w:rsidRPr="007A612C">
        <w:rPr>
          <w:rFonts w:ascii="Times New Roman" w:eastAsia="Times New Roman" w:hAnsi="Times New Roman" w:cs="Times New Roman"/>
          <w:sz w:val="24"/>
          <w:szCs w:val="24"/>
        </w:rPr>
        <w:t>pairs</w:t>
      </w:r>
      <w:proofErr w:type="gramEnd"/>
      <w:r w:rsidRPr="007A612C">
        <w:rPr>
          <w:rFonts w:ascii="Times New Roman" w:eastAsia="Times New Roman" w:hAnsi="Times New Roman" w:cs="Times New Roman"/>
          <w:sz w:val="24"/>
          <w:szCs w:val="24"/>
        </w:rPr>
        <w:t xml:space="preserve"> specific for mutant and wild-type DNA sequences were designed for each twin-pair mutation so that one primer contained the mutant base change at the 3′ end. Conditions for polymerase-chain-reaction (PCR) assay were optimized to allow selective amplification of mutant or wild-type sequence (for details, see the </w:t>
      </w:r>
      <w:hyperlink r:id="rId22" w:tgtFrame="_blank" w:history="1">
        <w:r w:rsidRPr="007A612C">
          <w:rPr>
            <w:rFonts w:ascii="Times New Roman" w:eastAsia="Times New Roman" w:hAnsi="Times New Roman" w:cs="Times New Roman"/>
            <w:color w:val="0066CC"/>
            <w:sz w:val="24"/>
            <w:szCs w:val="24"/>
            <w:u w:val="single"/>
          </w:rPr>
          <w:t>Supplementary Appendix</w:t>
        </w:r>
      </w:hyperlink>
      <w:r w:rsidRPr="007A612C">
        <w:rPr>
          <w:rFonts w:ascii="Times New Roman" w:eastAsia="Times New Roman" w:hAnsi="Times New Roman" w:cs="Times New Roman"/>
          <w:sz w:val="24"/>
          <w:szCs w:val="24"/>
        </w:rPr>
        <w:t>, available with the full text of this article at NEJM.org).</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To test for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we performed allele-specific PCR and </w:t>
      </w:r>
      <w:proofErr w:type="spellStart"/>
      <w:r w:rsidRPr="007A612C">
        <w:rPr>
          <w:rFonts w:ascii="Times New Roman" w:eastAsia="Times New Roman" w:hAnsi="Times New Roman" w:cs="Times New Roman"/>
          <w:sz w:val="24"/>
          <w:szCs w:val="24"/>
        </w:rPr>
        <w:t>semiquantitative</w:t>
      </w:r>
      <w:proofErr w:type="spellEnd"/>
      <w:r w:rsidRPr="007A612C">
        <w:rPr>
          <w:rFonts w:ascii="Times New Roman" w:eastAsia="Times New Roman" w:hAnsi="Times New Roman" w:cs="Times New Roman"/>
          <w:sz w:val="24"/>
          <w:szCs w:val="24"/>
        </w:rPr>
        <w:t xml:space="preserve"> analysis. To determine the limit of sensitivity of the allele-specific PCR, we diluted mutant DNA from the patients in wild-type DNA and used the mutant primer for amplification of the </w:t>
      </w:r>
      <w:r w:rsidRPr="007A612C">
        <w:rPr>
          <w:rFonts w:ascii="Times New Roman" w:eastAsia="Times New Roman" w:hAnsi="Times New Roman" w:cs="Times New Roman"/>
          <w:sz w:val="24"/>
          <w:szCs w:val="24"/>
        </w:rPr>
        <w:lastRenderedPageBreak/>
        <w:t>mutant sequence while ensuring that no product was amplified in wild-type DNA from control subjects.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Results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 xml:space="preserve">Concordant </w:t>
      </w:r>
      <w:proofErr w:type="spellStart"/>
      <w:r w:rsidRPr="007A612C">
        <w:rPr>
          <w:rFonts w:ascii="Times New Roman" w:eastAsia="Times New Roman" w:hAnsi="Times New Roman" w:cs="Times New Roman"/>
          <w:b/>
          <w:bCs/>
          <w:sz w:val="27"/>
          <w:szCs w:val="27"/>
        </w:rPr>
        <w:t>Monozygous</w:t>
      </w:r>
      <w:proofErr w:type="spellEnd"/>
      <w:r w:rsidRPr="007A612C">
        <w:rPr>
          <w:rFonts w:ascii="Times New Roman" w:eastAsia="Times New Roman" w:hAnsi="Times New Roman" w:cs="Times New Roman"/>
          <w:b/>
          <w:bCs/>
          <w:sz w:val="27"/>
          <w:szCs w:val="27"/>
        </w:rPr>
        <w:t xml:space="preserve"> Twin Pairs 1 and 2</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Clinical characteristics of twin pairs 1 and 2 are shown in </w:t>
      </w:r>
      <w:hyperlink r:id="rId23" w:tgtFrame="_blank" w:history="1">
        <w:r w:rsidRPr="007A612C">
          <w:rPr>
            <w:rFonts w:ascii="Times New Roman" w:eastAsia="Times New Roman" w:hAnsi="Times New Roman" w:cs="Times New Roman"/>
            <w:color w:val="0066CC"/>
            <w:sz w:val="24"/>
            <w:szCs w:val="24"/>
            <w:u w:val="single"/>
          </w:rPr>
          <w:t>Table 1</w:t>
        </w:r>
      </w:hyperlink>
      <w:r w:rsidRPr="007A612C">
        <w:rPr>
          <w:rFonts w:ascii="Times New Roman" w:eastAsia="Times New Roman" w:hAnsi="Times New Roman" w:cs="Times New Roman"/>
          <w:sz w:val="24"/>
          <w:szCs w:val="24"/>
        </w:rPr>
        <w:t>Table 1</w:t>
      </w:r>
      <w:r>
        <w:rPr>
          <w:rFonts w:ascii="Times New Roman" w:eastAsia="Times New Roman" w:hAnsi="Times New Roman" w:cs="Times New Roman"/>
          <w:noProof/>
          <w:color w:val="0066CC"/>
          <w:sz w:val="24"/>
          <w:szCs w:val="24"/>
        </w:rPr>
        <w:drawing>
          <wp:inline distT="0" distB="0" distL="0" distR="0">
            <wp:extent cx="1052195" cy="319405"/>
            <wp:effectExtent l="19050" t="0" r="0" b="0"/>
            <wp:docPr id="4" name="Picture 4" descr="http://www.nejm.org/na102/home/ACS/publisher/mms/journals/content/nejm/2010/nejm_2010.363.issue-14/nejmoa0910752/production/images/small/nejmoa0910752_t1.gif">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jm.org/na102/home/ACS/publisher/mms/journals/content/nejm/2010/nejm_2010.363.issue-14/nejmoa0910752/production/images/small/nejmoa0910752_t1.gif">
                      <a:hlinkClick r:id="rId23" tgtFrame="_blank"/>
                    </pic:cNvPr>
                    <pic:cNvPicPr>
                      <a:picLocks noChangeAspect="1" noChangeArrowheads="1"/>
                    </pic:cNvPicPr>
                  </pic:nvPicPr>
                  <pic:blipFill>
                    <a:blip r:embed="rId24" cstate="print"/>
                    <a:srcRect/>
                    <a:stretch>
                      <a:fillRect/>
                    </a:stretch>
                  </pic:blipFill>
                  <pic:spPr bwMode="auto">
                    <a:xfrm>
                      <a:off x="0" y="0"/>
                      <a:ext cx="1052195" cy="319405"/>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sz w:val="24"/>
          <w:szCs w:val="24"/>
        </w:rPr>
        <w:t xml:space="preserve">Clinical Characteristics of Two Concordant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with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and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Sequencing Results for the Twins and Their Parents</w:t>
      </w:r>
      <w:proofErr w:type="gramStart"/>
      <w:r w:rsidRPr="007A612C">
        <w:rPr>
          <w:rFonts w:ascii="Times New Roman" w:eastAsia="Times New Roman" w:hAnsi="Times New Roman" w:cs="Times New Roman"/>
          <w:sz w:val="24"/>
          <w:szCs w:val="24"/>
        </w:rPr>
        <w:t>..</w:t>
      </w:r>
      <w:proofErr w:type="gramEnd"/>
      <w:r w:rsidRPr="007A612C">
        <w:rPr>
          <w:rFonts w:ascii="Times New Roman" w:eastAsia="Times New Roman" w:hAnsi="Times New Roman" w:cs="Times New Roman"/>
          <w:sz w:val="24"/>
          <w:szCs w:val="24"/>
        </w:rPr>
        <w:t xml:space="preserve"> On the basis of nine polymorphic DNA markers, the probability that these twin pairs could be </w:t>
      </w:r>
      <w:proofErr w:type="spellStart"/>
      <w:r w:rsidRPr="007A612C">
        <w:rPr>
          <w:rFonts w:ascii="Times New Roman" w:eastAsia="Times New Roman" w:hAnsi="Times New Roman" w:cs="Times New Roman"/>
          <w:sz w:val="24"/>
          <w:szCs w:val="24"/>
        </w:rPr>
        <w:t>dizygous</w:t>
      </w:r>
      <w:proofErr w:type="spellEnd"/>
      <w:r w:rsidRPr="007A612C">
        <w:rPr>
          <w:rFonts w:ascii="Times New Roman" w:eastAsia="Times New Roman" w:hAnsi="Times New Roman" w:cs="Times New Roman"/>
          <w:sz w:val="24"/>
          <w:szCs w:val="24"/>
        </w:rPr>
        <w:t xml:space="preserve"> is extremely low (8×10</w:t>
      </w:r>
      <w:r w:rsidRPr="007A612C">
        <w:rPr>
          <w:rFonts w:ascii="Times New Roman" w:eastAsia="Times New Roman" w:hAnsi="Times New Roman" w:cs="Times New Roman"/>
          <w:sz w:val="24"/>
          <w:szCs w:val="24"/>
          <w:vertAlign w:val="superscript"/>
        </w:rPr>
        <w:t>−5</w:t>
      </w:r>
      <w:r w:rsidRPr="007A612C">
        <w:rPr>
          <w:rFonts w:ascii="Times New Roman" w:eastAsia="Times New Roman" w:hAnsi="Times New Roman" w:cs="Times New Roman"/>
          <w:sz w:val="24"/>
          <w:szCs w:val="24"/>
        </w:rPr>
        <w:t>).</w:t>
      </w:r>
      <w:hyperlink r:id="rId25" w:anchor="ref13" w:tgtFrame="_blank" w:history="1">
        <w:r w:rsidRPr="007A612C">
          <w:rPr>
            <w:rFonts w:ascii="Times New Roman" w:eastAsia="Times New Roman" w:hAnsi="Times New Roman" w:cs="Times New Roman"/>
            <w:color w:val="0066CC"/>
            <w:sz w:val="24"/>
            <w:szCs w:val="24"/>
            <w:u w:val="single"/>
          </w:rPr>
          <w:t>13</w:t>
        </w:r>
      </w:hyperlink>
      <w:r w:rsidRPr="007A612C">
        <w:rPr>
          <w:rFonts w:ascii="Times New Roman" w:eastAsia="Times New Roman" w:hAnsi="Times New Roman" w:cs="Times New Roman"/>
          <w:sz w:val="24"/>
          <w:szCs w:val="24"/>
        </w:rPr>
        <w:t xml:space="preserve"> Twin pair 1 had two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gene variants, a protein truncation mutation (c.4573C→T, R1525X) and a </w:t>
      </w:r>
      <w:proofErr w:type="spellStart"/>
      <w:r w:rsidRPr="007A612C">
        <w:rPr>
          <w:rFonts w:ascii="Times New Roman" w:eastAsia="Times New Roman" w:hAnsi="Times New Roman" w:cs="Times New Roman"/>
          <w:sz w:val="24"/>
          <w:szCs w:val="24"/>
        </w:rPr>
        <w:t>missense</w:t>
      </w:r>
      <w:proofErr w:type="spellEnd"/>
      <w:r w:rsidRPr="007A612C">
        <w:rPr>
          <w:rFonts w:ascii="Times New Roman" w:eastAsia="Times New Roman" w:hAnsi="Times New Roman" w:cs="Times New Roman"/>
          <w:sz w:val="24"/>
          <w:szCs w:val="24"/>
        </w:rPr>
        <w:t xml:space="preserve"> rare variant (c.1811G→A, R604H); the functional significance of the latter is uncertain. Only their mother was available for testing, and sequencing showed that she carried neither the mutation nor the rare variant. Twin pair 2 had a de novo </w:t>
      </w:r>
      <w:proofErr w:type="spellStart"/>
      <w:r w:rsidRPr="007A612C">
        <w:rPr>
          <w:rFonts w:ascii="Times New Roman" w:eastAsia="Times New Roman" w:hAnsi="Times New Roman" w:cs="Times New Roman"/>
          <w:sz w:val="24"/>
          <w:szCs w:val="24"/>
        </w:rPr>
        <w:t>frameshift</w:t>
      </w:r>
      <w:proofErr w:type="spellEnd"/>
      <w:r w:rsidRPr="007A612C">
        <w:rPr>
          <w:rFonts w:ascii="Times New Roman" w:eastAsia="Times New Roman" w:hAnsi="Times New Roman" w:cs="Times New Roman"/>
          <w:sz w:val="24"/>
          <w:szCs w:val="24"/>
        </w:rPr>
        <w:t xml:space="preserve"> mutation (c.4949_4950insT, I1650fsX1672) that was predicted to cause protein truncation; both parents tested negative for the mutation.</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 xml:space="preserve">Discordant </w:t>
      </w:r>
      <w:proofErr w:type="spellStart"/>
      <w:r w:rsidRPr="007A612C">
        <w:rPr>
          <w:rFonts w:ascii="Times New Roman" w:eastAsia="Times New Roman" w:hAnsi="Times New Roman" w:cs="Times New Roman"/>
          <w:b/>
          <w:bCs/>
          <w:sz w:val="27"/>
          <w:szCs w:val="27"/>
        </w:rPr>
        <w:t>Monozygous</w:t>
      </w:r>
      <w:proofErr w:type="spellEnd"/>
      <w:r w:rsidRPr="007A612C">
        <w:rPr>
          <w:rFonts w:ascii="Times New Roman" w:eastAsia="Times New Roman" w:hAnsi="Times New Roman" w:cs="Times New Roman"/>
          <w:b/>
          <w:bCs/>
          <w:sz w:val="27"/>
          <w:szCs w:val="27"/>
        </w:rPr>
        <w:t xml:space="preserve"> Twin Pair 3</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twins in pair 3 were 25 years of age. They were born after an uncomplicated, spontaneous twin pregnancy, and the births were unremarkable. 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was delivered second and weighed 2880 g at birth, and her twin weighed 2520 g. They were third (unaffected twin) and fourth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in a kindred of five siblings. One older sister had a history of two febrile seizures before the age of 4 years. Both parents were unaffected. There was no other family history of seizures.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Clinically, the twin pair was considered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although the affected twin was slightly heavier and had coarser facial features, findings that are consistent with long-term use of antiepileptic medication. </w:t>
      </w:r>
      <w:proofErr w:type="spellStart"/>
      <w:r w:rsidRPr="007A612C">
        <w:rPr>
          <w:rFonts w:ascii="Times New Roman" w:eastAsia="Times New Roman" w:hAnsi="Times New Roman" w:cs="Times New Roman"/>
          <w:sz w:val="24"/>
          <w:szCs w:val="24"/>
        </w:rPr>
        <w:t>Zygosity</w:t>
      </w:r>
      <w:proofErr w:type="spellEnd"/>
      <w:r w:rsidRPr="007A612C">
        <w:rPr>
          <w:rFonts w:ascii="Times New Roman" w:eastAsia="Times New Roman" w:hAnsi="Times New Roman" w:cs="Times New Roman"/>
          <w:sz w:val="24"/>
          <w:szCs w:val="24"/>
        </w:rPr>
        <w:t xml:space="preserve"> testing for 9 polymorphic DNA markers in lymphocyte and </w:t>
      </w:r>
      <w:proofErr w:type="spellStart"/>
      <w:r w:rsidRPr="007A612C">
        <w:rPr>
          <w:rFonts w:ascii="Times New Roman" w:eastAsia="Times New Roman" w:hAnsi="Times New Roman" w:cs="Times New Roman"/>
          <w:sz w:val="24"/>
          <w:szCs w:val="24"/>
        </w:rPr>
        <w:t>buccal</w:t>
      </w:r>
      <w:proofErr w:type="spellEnd"/>
      <w:r w:rsidRPr="007A612C">
        <w:rPr>
          <w:rFonts w:ascii="Times New Roman" w:eastAsia="Times New Roman" w:hAnsi="Times New Roman" w:cs="Times New Roman"/>
          <w:sz w:val="24"/>
          <w:szCs w:val="24"/>
        </w:rPr>
        <w:t xml:space="preserve"> cells and for an additional 10 markers in lymphocytes confirmed </w:t>
      </w:r>
      <w:proofErr w:type="spellStart"/>
      <w:r w:rsidRPr="007A612C">
        <w:rPr>
          <w:rFonts w:ascii="Times New Roman" w:eastAsia="Times New Roman" w:hAnsi="Times New Roman" w:cs="Times New Roman"/>
          <w:sz w:val="24"/>
          <w:szCs w:val="24"/>
        </w:rPr>
        <w:t>monozygosity</w:t>
      </w:r>
      <w:proofErr w:type="spellEnd"/>
      <w:r w:rsidRPr="007A612C">
        <w:rPr>
          <w:rFonts w:ascii="Times New Roman" w:eastAsia="Times New Roman" w:hAnsi="Times New Roman" w:cs="Times New Roman"/>
          <w:sz w:val="24"/>
          <w:szCs w:val="24"/>
        </w:rPr>
        <w:t xml:space="preserve">. On the basis of tests for these 19 markers, the probability that these twins were </w:t>
      </w:r>
      <w:proofErr w:type="spellStart"/>
      <w:r w:rsidRPr="007A612C">
        <w:rPr>
          <w:rFonts w:ascii="Times New Roman" w:eastAsia="Times New Roman" w:hAnsi="Times New Roman" w:cs="Times New Roman"/>
          <w:sz w:val="24"/>
          <w:szCs w:val="24"/>
        </w:rPr>
        <w:t>dizygous</w:t>
      </w:r>
      <w:proofErr w:type="spellEnd"/>
      <w:r w:rsidRPr="007A612C">
        <w:rPr>
          <w:rFonts w:ascii="Times New Roman" w:eastAsia="Times New Roman" w:hAnsi="Times New Roman" w:cs="Times New Roman"/>
          <w:sz w:val="24"/>
          <w:szCs w:val="24"/>
        </w:rPr>
        <w:t xml:space="preserve"> was negligible (2×10</w:t>
      </w:r>
      <w:r w:rsidRPr="007A612C">
        <w:rPr>
          <w:rFonts w:ascii="Times New Roman" w:eastAsia="Times New Roman" w:hAnsi="Times New Roman" w:cs="Times New Roman"/>
          <w:sz w:val="24"/>
          <w:szCs w:val="24"/>
          <w:vertAlign w:val="superscript"/>
        </w:rPr>
        <w:t>−8</w:t>
      </w:r>
      <w:r w:rsidRPr="007A612C">
        <w:rPr>
          <w:rFonts w:ascii="Times New Roman" w:eastAsia="Times New Roman" w:hAnsi="Times New Roman" w:cs="Times New Roman"/>
          <w:sz w:val="24"/>
          <w:szCs w:val="24"/>
        </w:rPr>
        <w:t>).</w:t>
      </w:r>
      <w:hyperlink r:id="rId26" w:anchor="ref13" w:tgtFrame="_blank" w:history="1">
        <w:r w:rsidRPr="007A612C">
          <w:rPr>
            <w:rFonts w:ascii="Times New Roman" w:eastAsia="Times New Roman" w:hAnsi="Times New Roman" w:cs="Times New Roman"/>
            <w:color w:val="0066CC"/>
            <w:sz w:val="24"/>
            <w:szCs w:val="24"/>
            <w:u w:val="single"/>
          </w:rPr>
          <w:t>13</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initially presented with prolonged, generalized febrile seizures at the age of 6 months. Multiple seizure types ensued. These included </w:t>
      </w:r>
      <w:proofErr w:type="spellStart"/>
      <w:r w:rsidRPr="007A612C">
        <w:rPr>
          <w:rFonts w:ascii="Times New Roman" w:eastAsia="Times New Roman" w:hAnsi="Times New Roman" w:cs="Times New Roman"/>
          <w:sz w:val="24"/>
          <w:szCs w:val="24"/>
        </w:rPr>
        <w:t>myoclonic</w:t>
      </w:r>
      <w:proofErr w:type="spellEnd"/>
      <w:r w:rsidRPr="007A612C">
        <w:rPr>
          <w:rFonts w:ascii="Times New Roman" w:eastAsia="Times New Roman" w:hAnsi="Times New Roman" w:cs="Times New Roman"/>
          <w:sz w:val="24"/>
          <w:szCs w:val="24"/>
        </w:rPr>
        <w:t xml:space="preserve"> seizures, tonic-</w:t>
      </w:r>
      <w:proofErr w:type="spellStart"/>
      <w:r w:rsidRPr="007A612C">
        <w:rPr>
          <w:rFonts w:ascii="Times New Roman" w:eastAsia="Times New Roman" w:hAnsi="Times New Roman" w:cs="Times New Roman"/>
          <w:sz w:val="24"/>
          <w:szCs w:val="24"/>
        </w:rPr>
        <w:t>clonic</w:t>
      </w:r>
      <w:proofErr w:type="spellEnd"/>
      <w:r w:rsidRPr="007A612C">
        <w:rPr>
          <w:rFonts w:ascii="Times New Roman" w:eastAsia="Times New Roman" w:hAnsi="Times New Roman" w:cs="Times New Roman"/>
          <w:sz w:val="24"/>
          <w:szCs w:val="24"/>
        </w:rPr>
        <w:t xml:space="preserve"> seizures, and partial seizures. Over the years, she had had recurrent hospital admissions for prolonged seizures (status </w:t>
      </w:r>
      <w:proofErr w:type="spellStart"/>
      <w:r w:rsidRPr="007A612C">
        <w:rPr>
          <w:rFonts w:ascii="Times New Roman" w:eastAsia="Times New Roman" w:hAnsi="Times New Roman" w:cs="Times New Roman"/>
          <w:sz w:val="24"/>
          <w:szCs w:val="24"/>
        </w:rPr>
        <w:t>epilepticus</w:t>
      </w:r>
      <w:proofErr w:type="spellEnd"/>
      <w:r w:rsidRPr="007A612C">
        <w:rPr>
          <w:rFonts w:ascii="Times New Roman" w:eastAsia="Times New Roman" w:hAnsi="Times New Roman" w:cs="Times New Roman"/>
          <w:sz w:val="24"/>
          <w:szCs w:val="24"/>
        </w:rPr>
        <w:t>) and had received multiple medications for intractable seizures.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had normal early milestones. After 15 months, developmental regression was noted, with delays in speech and walking. She attended a regular school and completed a modified 12th year with integration aids. At the time of evaluation, she was working in a restaurant. Neuropsychological testing showed a low average full-scale IQ of 89 on the Wechsler Adult Intelligence Scale-Revised. She was married and had an unaffected daughter. Magnetic resonance imaging (MRI) of the brain showed left </w:t>
      </w:r>
      <w:proofErr w:type="spellStart"/>
      <w:r w:rsidRPr="007A612C">
        <w:rPr>
          <w:rFonts w:ascii="Times New Roman" w:eastAsia="Times New Roman" w:hAnsi="Times New Roman" w:cs="Times New Roman"/>
          <w:sz w:val="24"/>
          <w:szCs w:val="24"/>
        </w:rPr>
        <w:lastRenderedPageBreak/>
        <w:t>hippocampal</w:t>
      </w:r>
      <w:proofErr w:type="spellEnd"/>
      <w:r w:rsidRPr="007A612C">
        <w:rPr>
          <w:rFonts w:ascii="Times New Roman" w:eastAsia="Times New Roman" w:hAnsi="Times New Roman" w:cs="Times New Roman"/>
          <w:sz w:val="24"/>
          <w:szCs w:val="24"/>
        </w:rPr>
        <w:t xml:space="preserve"> sclerosis with small </w:t>
      </w:r>
      <w:proofErr w:type="spellStart"/>
      <w:r w:rsidRPr="007A612C">
        <w:rPr>
          <w:rFonts w:ascii="Times New Roman" w:eastAsia="Times New Roman" w:hAnsi="Times New Roman" w:cs="Times New Roman"/>
          <w:sz w:val="24"/>
          <w:szCs w:val="24"/>
        </w:rPr>
        <w:t>hippocampal</w:t>
      </w:r>
      <w:proofErr w:type="spellEnd"/>
      <w:r w:rsidRPr="007A612C">
        <w:rPr>
          <w:rFonts w:ascii="Times New Roman" w:eastAsia="Times New Roman" w:hAnsi="Times New Roman" w:cs="Times New Roman"/>
          <w:sz w:val="24"/>
          <w:szCs w:val="24"/>
        </w:rPr>
        <w:t xml:space="preserve"> volume and an increased signal on T</w:t>
      </w:r>
      <w:r w:rsidRPr="007A612C">
        <w:rPr>
          <w:rFonts w:ascii="Times New Roman" w:eastAsia="Times New Roman" w:hAnsi="Times New Roman" w:cs="Times New Roman"/>
          <w:sz w:val="24"/>
          <w:szCs w:val="24"/>
          <w:vertAlign w:val="subscript"/>
        </w:rPr>
        <w:t>2</w:t>
      </w:r>
      <w:r w:rsidRPr="007A612C">
        <w:rPr>
          <w:rFonts w:ascii="Times New Roman" w:eastAsia="Times New Roman" w:hAnsi="Times New Roman" w:cs="Times New Roman"/>
          <w:sz w:val="24"/>
          <w:szCs w:val="24"/>
        </w:rPr>
        <w:t>-weighted scanning.</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Her twin had two simple febrile seizures, at 6 weeks and 4 years. Neuropsychological testing showed average intelligence. At the time of evaluation, she was working as a nurse. The findings on brain MRI were within normal limits.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had a heterozygous base change c.664C→T in </w:t>
      </w:r>
      <w:proofErr w:type="spellStart"/>
      <w:r w:rsidRPr="007A612C">
        <w:rPr>
          <w:rFonts w:ascii="Times New Roman" w:eastAsia="Times New Roman" w:hAnsi="Times New Roman" w:cs="Times New Roman"/>
          <w:sz w:val="24"/>
          <w:szCs w:val="24"/>
        </w:rPr>
        <w:t>exon</w:t>
      </w:r>
      <w:proofErr w:type="spellEnd"/>
      <w:r w:rsidRPr="007A612C">
        <w:rPr>
          <w:rFonts w:ascii="Times New Roman" w:eastAsia="Times New Roman" w:hAnsi="Times New Roman" w:cs="Times New Roman"/>
          <w:sz w:val="24"/>
          <w:szCs w:val="24"/>
        </w:rPr>
        <w:t xml:space="preserve"> 5 of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resulting in a premature stop-</w:t>
      </w:r>
      <w:proofErr w:type="spellStart"/>
      <w:r w:rsidRPr="007A612C">
        <w:rPr>
          <w:rFonts w:ascii="Times New Roman" w:eastAsia="Times New Roman" w:hAnsi="Times New Roman" w:cs="Times New Roman"/>
          <w:sz w:val="24"/>
          <w:szCs w:val="24"/>
        </w:rPr>
        <w:t>codon</w:t>
      </w:r>
      <w:proofErr w:type="spellEnd"/>
      <w:r w:rsidRPr="007A612C">
        <w:rPr>
          <w:rFonts w:ascii="Times New Roman" w:eastAsia="Times New Roman" w:hAnsi="Times New Roman" w:cs="Times New Roman"/>
          <w:sz w:val="24"/>
          <w:szCs w:val="24"/>
        </w:rPr>
        <w:t xml:space="preserve"> mutation (R222X) that was predicted to lead to a truncated protein. We detected this mutation in DNA extracted from the </w:t>
      </w:r>
      <w:proofErr w:type="spellStart"/>
      <w:r w:rsidRPr="007A612C">
        <w:rPr>
          <w:rFonts w:ascii="Times New Roman" w:eastAsia="Times New Roman" w:hAnsi="Times New Roman" w:cs="Times New Roman"/>
          <w:sz w:val="24"/>
          <w:szCs w:val="24"/>
        </w:rPr>
        <w:t>proband's</w:t>
      </w:r>
      <w:proofErr w:type="spellEnd"/>
      <w:r w:rsidRPr="007A612C">
        <w:rPr>
          <w:rFonts w:ascii="Times New Roman" w:eastAsia="Times New Roman" w:hAnsi="Times New Roman" w:cs="Times New Roman"/>
          <w:sz w:val="24"/>
          <w:szCs w:val="24"/>
        </w:rPr>
        <w:t xml:space="preserve"> lymphocytes, hair, </w:t>
      </w:r>
      <w:proofErr w:type="spellStart"/>
      <w:r w:rsidRPr="007A612C">
        <w:rPr>
          <w:rFonts w:ascii="Times New Roman" w:eastAsia="Times New Roman" w:hAnsi="Times New Roman" w:cs="Times New Roman"/>
          <w:sz w:val="24"/>
          <w:szCs w:val="24"/>
        </w:rPr>
        <w:t>buccal</w:t>
      </w:r>
      <w:proofErr w:type="spellEnd"/>
      <w:r w:rsidRPr="007A612C">
        <w:rPr>
          <w:rFonts w:ascii="Times New Roman" w:eastAsia="Times New Roman" w:hAnsi="Times New Roman" w:cs="Times New Roman"/>
          <w:sz w:val="24"/>
          <w:szCs w:val="24"/>
        </w:rPr>
        <w:t xml:space="preserve"> cells, skin fibroblasts, and cell lines derived from olfactory </w:t>
      </w:r>
      <w:proofErr w:type="spellStart"/>
      <w:r w:rsidRPr="007A612C">
        <w:rPr>
          <w:rFonts w:ascii="Times New Roman" w:eastAsia="Times New Roman" w:hAnsi="Times New Roman" w:cs="Times New Roman"/>
          <w:sz w:val="24"/>
          <w:szCs w:val="24"/>
        </w:rPr>
        <w:t>neuroepithelium</w:t>
      </w:r>
      <w:proofErr w:type="spellEnd"/>
      <w:r w:rsidRPr="007A612C">
        <w:rPr>
          <w:rFonts w:ascii="Times New Roman" w:eastAsia="Times New Roman" w:hAnsi="Times New Roman" w:cs="Times New Roman"/>
          <w:sz w:val="24"/>
          <w:szCs w:val="24"/>
        </w:rPr>
        <w:t xml:space="preserve"> and did not observe it in DNA extracted from tissues obtained from her twin (</w:t>
      </w:r>
      <w:hyperlink r:id="rId27" w:tgtFrame="_blank" w:history="1">
        <w:r w:rsidRPr="007A612C">
          <w:rPr>
            <w:rFonts w:ascii="Times New Roman" w:eastAsia="Times New Roman" w:hAnsi="Times New Roman" w:cs="Times New Roman"/>
            <w:color w:val="0066CC"/>
            <w:sz w:val="24"/>
            <w:szCs w:val="24"/>
            <w:u w:val="single"/>
          </w:rPr>
          <w:t>Figure 1</w:t>
        </w:r>
      </w:hyperlink>
      <w:r w:rsidRPr="007A612C">
        <w:rPr>
          <w:rFonts w:ascii="Times New Roman" w:eastAsia="Times New Roman" w:hAnsi="Times New Roman" w:cs="Times New Roman"/>
          <w:sz w:val="24"/>
          <w:szCs w:val="24"/>
        </w:rPr>
        <w:t>Figure 1</w:t>
      </w:r>
      <w:r>
        <w:rPr>
          <w:rFonts w:ascii="Times New Roman" w:eastAsia="Times New Roman" w:hAnsi="Times New Roman" w:cs="Times New Roman"/>
          <w:noProof/>
          <w:color w:val="0066CC"/>
          <w:sz w:val="24"/>
          <w:szCs w:val="24"/>
        </w:rPr>
        <w:drawing>
          <wp:inline distT="0" distB="0" distL="0" distR="0">
            <wp:extent cx="483235" cy="1052195"/>
            <wp:effectExtent l="19050" t="0" r="0" b="0"/>
            <wp:docPr id="5" name="Picture 5" descr="http://www.nejm.org/na102/home/ACS/publisher/mms/journals/content/nejm/2010/nejm_2010.363.issue-14/nejmoa0910752/production/images/small/nejmoa0910752_f1.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jm.org/na102/home/ACS/publisher/mms/journals/content/nejm/2010/nejm_2010.363.issue-14/nejmoa0910752/production/images/small/nejmoa0910752_f1.gif">
                      <a:hlinkClick r:id="rId6" tgtFrame="_blank"/>
                    </pic:cNvPr>
                    <pic:cNvPicPr>
                      <a:picLocks noChangeAspect="1" noChangeArrowheads="1"/>
                    </pic:cNvPicPr>
                  </pic:nvPicPr>
                  <pic:blipFill>
                    <a:blip r:embed="rId7" cstate="print"/>
                    <a:srcRect/>
                    <a:stretch>
                      <a:fillRect/>
                    </a:stretch>
                  </pic:blipFill>
                  <pic:spPr bwMode="auto">
                    <a:xfrm>
                      <a:off x="0" y="0"/>
                      <a:ext cx="483235" cy="1052195"/>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sz w:val="24"/>
          <w:szCs w:val="24"/>
        </w:rPr>
        <w:t xml:space="preserve">DNA Sequencing for a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 Discordant for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We did not detect the mutation in DNA purified from lymphocytes from the parents and the older sibling with a history of febrile seizures.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 xml:space="preserve">DNA Analysis for Somatic </w:t>
      </w:r>
      <w:proofErr w:type="spellStart"/>
      <w:r w:rsidRPr="007A612C">
        <w:rPr>
          <w:rFonts w:ascii="Times New Roman" w:eastAsia="Times New Roman" w:hAnsi="Times New Roman" w:cs="Times New Roman"/>
          <w:b/>
          <w:bCs/>
          <w:sz w:val="27"/>
          <w:szCs w:val="27"/>
        </w:rPr>
        <w:t>Mosaicism</w:t>
      </w:r>
      <w:proofErr w:type="spellEnd"/>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We analyzed each of the three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mutations by means of allele-specific PCR and </w:t>
      </w:r>
      <w:proofErr w:type="spellStart"/>
      <w:r w:rsidRPr="007A612C">
        <w:rPr>
          <w:rFonts w:ascii="Times New Roman" w:eastAsia="Times New Roman" w:hAnsi="Times New Roman" w:cs="Times New Roman"/>
          <w:sz w:val="24"/>
          <w:szCs w:val="24"/>
        </w:rPr>
        <w:t>semiquantitative</w:t>
      </w:r>
      <w:proofErr w:type="spellEnd"/>
      <w:r w:rsidRPr="007A612C">
        <w:rPr>
          <w:rFonts w:ascii="Times New Roman" w:eastAsia="Times New Roman" w:hAnsi="Times New Roman" w:cs="Times New Roman"/>
          <w:sz w:val="24"/>
          <w:szCs w:val="24"/>
        </w:rPr>
        <w:t xml:space="preserve"> analysis. The lowest percentage of mutant DNA in preparations in which mutant sequence was detected was 1.57% in twin pair 1, 3.13% in twin pair 2, and 1.57% in twin pair 3. We found no evidence of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in the mother of twin pair 1 or in either of the parents of twin pairs 2 and 3, although we cannot rule out the possibility that the parents have </w:t>
      </w:r>
      <w:proofErr w:type="spellStart"/>
      <w:r w:rsidRPr="007A612C">
        <w:rPr>
          <w:rFonts w:ascii="Times New Roman" w:eastAsia="Times New Roman" w:hAnsi="Times New Roman" w:cs="Times New Roman"/>
          <w:sz w:val="24"/>
          <w:szCs w:val="24"/>
        </w:rPr>
        <w:t>gonadal</w:t>
      </w:r>
      <w:proofErr w:type="spellEnd"/>
      <w:r w:rsidRPr="007A612C">
        <w:rPr>
          <w:rFonts w:ascii="Times New Roman" w:eastAsia="Times New Roman" w:hAnsi="Times New Roman" w:cs="Times New Roman"/>
          <w:sz w:val="24"/>
          <w:szCs w:val="24"/>
        </w:rPr>
        <w:t xml:space="preserve">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We also tested the unaffected twin in twin pair 3 and found no evidence of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for the R222X mutation.</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Discussion</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We found mutations in all three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which predict a truncated protein product (providing that the mutant RNA is not degraded), strongly suggesting </w:t>
      </w:r>
      <w:proofErr w:type="spellStart"/>
      <w:r w:rsidRPr="007A612C">
        <w:rPr>
          <w:rFonts w:ascii="Times New Roman" w:eastAsia="Times New Roman" w:hAnsi="Times New Roman" w:cs="Times New Roman"/>
          <w:sz w:val="24"/>
          <w:szCs w:val="24"/>
        </w:rPr>
        <w:t>pathogenicity</w:t>
      </w:r>
      <w:proofErr w:type="spellEnd"/>
      <w:r w:rsidRPr="007A612C">
        <w:rPr>
          <w:rFonts w:ascii="Times New Roman" w:eastAsia="Times New Roman" w:hAnsi="Times New Roman" w:cs="Times New Roman"/>
          <w:sz w:val="24"/>
          <w:szCs w:val="24"/>
        </w:rPr>
        <w:t xml:space="preserve">. More than 200 similar truncation mutations of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that have been described in patients with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have not been reported in control subjects.</w:t>
      </w:r>
      <w:hyperlink r:id="rId28" w:anchor="ref14" w:tgtFrame="_blank" w:history="1">
        <w:r w:rsidRPr="007A612C">
          <w:rPr>
            <w:rFonts w:ascii="Times New Roman" w:eastAsia="Times New Roman" w:hAnsi="Times New Roman" w:cs="Times New Roman"/>
            <w:color w:val="0066CC"/>
            <w:sz w:val="24"/>
            <w:szCs w:val="24"/>
            <w:u w:val="single"/>
          </w:rPr>
          <w:t>14</w:t>
        </w:r>
      </w:hyperlink>
      <w:r w:rsidRPr="007A612C">
        <w:rPr>
          <w:rFonts w:ascii="Times New Roman" w:eastAsia="Times New Roman" w:hAnsi="Times New Roman" w:cs="Times New Roman"/>
          <w:sz w:val="24"/>
          <w:szCs w:val="24"/>
        </w:rPr>
        <w:t xml:space="preserve"> Electrophysiological studies have also shown major functional effects of such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mutations.</w:t>
      </w:r>
      <w:hyperlink r:id="rId29" w:anchor="ref15" w:tgtFrame="_blank" w:history="1">
        <w:r w:rsidRPr="007A612C">
          <w:rPr>
            <w:rFonts w:ascii="Times New Roman" w:eastAsia="Times New Roman" w:hAnsi="Times New Roman" w:cs="Times New Roman"/>
            <w:color w:val="0066CC"/>
            <w:sz w:val="24"/>
            <w:szCs w:val="24"/>
            <w:u w:val="single"/>
          </w:rPr>
          <w:t>15</w:t>
        </w:r>
      </w:hyperlink>
      <w:r w:rsidRPr="007A612C">
        <w:rPr>
          <w:rFonts w:ascii="Times New Roman" w:eastAsia="Times New Roman" w:hAnsi="Times New Roman" w:cs="Times New Roman"/>
          <w:sz w:val="24"/>
          <w:szCs w:val="24"/>
        </w:rPr>
        <w:t xml:space="preserve"> Moreover, the presence of the specific mutations R222X, in the discordant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 and R1525X, in one of the concordant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has been described previously in other patients with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w:t>
      </w:r>
      <w:hyperlink r:id="rId30" w:anchor="ref14" w:tgtFrame="_blank" w:history="1">
        <w:r w:rsidRPr="007A612C">
          <w:rPr>
            <w:rFonts w:ascii="Times New Roman" w:eastAsia="Times New Roman" w:hAnsi="Times New Roman" w:cs="Times New Roman"/>
            <w:color w:val="0066CC"/>
            <w:sz w:val="24"/>
            <w:szCs w:val="24"/>
            <w:u w:val="single"/>
          </w:rPr>
          <w:t>14</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usually occurs sporadically, with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mutations in the affected patient but not in the parents or healthy siblings. In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twins with this syndrome, both are typically affected (e.g., twin pairs 1 and 2 and those described previously</w:t>
      </w:r>
      <w:hyperlink r:id="rId31" w:anchor="ref16" w:tgtFrame="_blank" w:history="1">
        <w:r w:rsidRPr="007A612C">
          <w:rPr>
            <w:rFonts w:ascii="Times New Roman" w:eastAsia="Times New Roman" w:hAnsi="Times New Roman" w:cs="Times New Roman"/>
            <w:color w:val="0066CC"/>
            <w:sz w:val="24"/>
            <w:szCs w:val="24"/>
            <w:u w:val="single"/>
          </w:rPr>
          <w:t>16</w:t>
        </w:r>
        <w:proofErr w:type="gramStart"/>
        <w:r w:rsidRPr="007A612C">
          <w:rPr>
            <w:rFonts w:ascii="Times New Roman" w:eastAsia="Times New Roman" w:hAnsi="Times New Roman" w:cs="Times New Roman"/>
            <w:color w:val="0066CC"/>
            <w:sz w:val="24"/>
            <w:szCs w:val="24"/>
            <w:u w:val="single"/>
          </w:rPr>
          <w:t>,17</w:t>
        </w:r>
        <w:proofErr w:type="gramEnd"/>
      </w:hyperlink>
      <w:r w:rsidRPr="007A612C">
        <w:rPr>
          <w:rFonts w:ascii="Times New Roman" w:eastAsia="Times New Roman" w:hAnsi="Times New Roman" w:cs="Times New Roman"/>
          <w:sz w:val="24"/>
          <w:szCs w:val="24"/>
        </w:rPr>
        <w:t xml:space="preserve">). In such cases, the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 is most likely to develop in the parental germ line</w:t>
      </w:r>
      <w:proofErr w:type="gramStart"/>
      <w:r w:rsidRPr="007A612C">
        <w:rPr>
          <w:rFonts w:ascii="Times New Roman" w:eastAsia="Times New Roman" w:hAnsi="Times New Roman" w:cs="Times New Roman"/>
          <w:sz w:val="24"/>
          <w:szCs w:val="24"/>
        </w:rPr>
        <w:t>,</w:t>
      </w:r>
      <w:proofErr w:type="gramEnd"/>
      <w:r w:rsidRPr="007A612C">
        <w:rPr>
          <w:rFonts w:ascii="Times New Roman" w:eastAsia="Times New Roman" w:hAnsi="Times New Roman" w:cs="Times New Roman"/>
          <w:sz w:val="24"/>
          <w:szCs w:val="24"/>
        </w:rPr>
        <w:fldChar w:fldCharType="begin"/>
      </w:r>
      <w:r w:rsidRPr="007A612C">
        <w:rPr>
          <w:rFonts w:ascii="Times New Roman" w:eastAsia="Times New Roman" w:hAnsi="Times New Roman" w:cs="Times New Roman"/>
          <w:sz w:val="24"/>
          <w:szCs w:val="24"/>
        </w:rPr>
        <w:instrText xml:space="preserve"> HYPERLINK "http://www.nejm.org/doi/full/10.1056/NEJMoa0910752" \l "ref18" \t "_blank" </w:instrText>
      </w:r>
      <w:r w:rsidRPr="007A612C">
        <w:rPr>
          <w:rFonts w:ascii="Times New Roman" w:eastAsia="Times New Roman" w:hAnsi="Times New Roman" w:cs="Times New Roman"/>
          <w:sz w:val="24"/>
          <w:szCs w:val="24"/>
        </w:rPr>
        <w:fldChar w:fldCharType="separate"/>
      </w:r>
      <w:r w:rsidRPr="007A612C">
        <w:rPr>
          <w:rFonts w:ascii="Times New Roman" w:eastAsia="Times New Roman" w:hAnsi="Times New Roman" w:cs="Times New Roman"/>
          <w:color w:val="0066CC"/>
          <w:sz w:val="24"/>
          <w:szCs w:val="24"/>
          <w:u w:val="single"/>
        </w:rPr>
        <w:t>18</w:t>
      </w:r>
      <w:r w:rsidRPr="007A612C">
        <w:rPr>
          <w:rFonts w:ascii="Times New Roman" w:eastAsia="Times New Roman" w:hAnsi="Times New Roman" w:cs="Times New Roman"/>
          <w:sz w:val="24"/>
          <w:szCs w:val="24"/>
        </w:rPr>
        <w:fldChar w:fldCharType="end"/>
      </w:r>
      <w:r w:rsidRPr="007A612C">
        <w:rPr>
          <w:rFonts w:ascii="Times New Roman" w:eastAsia="Times New Roman" w:hAnsi="Times New Roman" w:cs="Times New Roman"/>
          <w:sz w:val="24"/>
          <w:szCs w:val="24"/>
        </w:rPr>
        <w:t xml:space="preserve"> giving rise to a mutated sperm or egg. Mutations in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occur more frequently in the male germ line.</w:t>
      </w:r>
      <w:hyperlink r:id="rId32" w:anchor="ref19" w:tgtFrame="_blank" w:history="1">
        <w:r w:rsidRPr="007A612C">
          <w:rPr>
            <w:rFonts w:ascii="Times New Roman" w:eastAsia="Times New Roman" w:hAnsi="Times New Roman" w:cs="Times New Roman"/>
            <w:color w:val="0066CC"/>
            <w:sz w:val="24"/>
            <w:szCs w:val="24"/>
            <w:u w:val="single"/>
          </w:rPr>
          <w:t>19</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spellStart"/>
      <w:r w:rsidRPr="007A612C">
        <w:rPr>
          <w:rFonts w:ascii="Times New Roman" w:eastAsia="Times New Roman" w:hAnsi="Times New Roman" w:cs="Times New Roman"/>
          <w:sz w:val="24"/>
          <w:szCs w:val="24"/>
        </w:rPr>
        <w:lastRenderedPageBreak/>
        <w:t>Mosaicism</w:t>
      </w:r>
      <w:proofErr w:type="spellEnd"/>
      <w:r w:rsidRPr="007A612C">
        <w:rPr>
          <w:rFonts w:ascii="Times New Roman" w:eastAsia="Times New Roman" w:hAnsi="Times New Roman" w:cs="Times New Roman"/>
          <w:sz w:val="24"/>
          <w:szCs w:val="24"/>
        </w:rPr>
        <w:t xml:space="preserve"> is the presence of two genetically different cell lines arising after fertilization, and it informs the timing of </w:t>
      </w:r>
      <w:proofErr w:type="spellStart"/>
      <w:r w:rsidRPr="007A612C">
        <w:rPr>
          <w:rFonts w:ascii="Times New Roman" w:eastAsia="Times New Roman" w:hAnsi="Times New Roman" w:cs="Times New Roman"/>
          <w:sz w:val="24"/>
          <w:szCs w:val="24"/>
        </w:rPr>
        <w:t>postzygotic</w:t>
      </w:r>
      <w:proofErr w:type="spellEnd"/>
      <w:r w:rsidRPr="007A612C">
        <w:rPr>
          <w:rFonts w:ascii="Times New Roman" w:eastAsia="Times New Roman" w:hAnsi="Times New Roman" w:cs="Times New Roman"/>
          <w:sz w:val="24"/>
          <w:szCs w:val="24"/>
        </w:rPr>
        <w:t xml:space="preserve"> mutagenesis. Somatic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occurs in </w:t>
      </w:r>
      <w:proofErr w:type="spellStart"/>
      <w:r w:rsidRPr="007A612C">
        <w:rPr>
          <w:rFonts w:ascii="Times New Roman" w:eastAsia="Times New Roman" w:hAnsi="Times New Roman" w:cs="Times New Roman"/>
          <w:sz w:val="24"/>
          <w:szCs w:val="24"/>
        </w:rPr>
        <w:t>nonsex</w:t>
      </w:r>
      <w:proofErr w:type="spellEnd"/>
      <w:r w:rsidRPr="007A612C">
        <w:rPr>
          <w:rFonts w:ascii="Times New Roman" w:eastAsia="Times New Roman" w:hAnsi="Times New Roman" w:cs="Times New Roman"/>
          <w:sz w:val="24"/>
          <w:szCs w:val="24"/>
        </w:rPr>
        <w:t xml:space="preserve"> cells, whereas germ-line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occurs in the gamete-forming cells. In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somatic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has been shown in cases in which mildly affected parents have one or more affected offspring.</w:t>
      </w:r>
      <w:hyperlink r:id="rId33" w:anchor="ref20" w:tgtFrame="_blank" w:history="1">
        <w:r w:rsidRPr="007A612C">
          <w:rPr>
            <w:rFonts w:ascii="Times New Roman" w:eastAsia="Times New Roman" w:hAnsi="Times New Roman" w:cs="Times New Roman"/>
            <w:color w:val="0066CC"/>
            <w:sz w:val="24"/>
            <w:szCs w:val="24"/>
            <w:u w:val="single"/>
          </w:rPr>
          <w:t>20-22</w:t>
        </w:r>
      </w:hyperlink>
      <w:r w:rsidRPr="007A612C">
        <w:rPr>
          <w:rFonts w:ascii="Times New Roman" w:eastAsia="Times New Roman" w:hAnsi="Times New Roman" w:cs="Times New Roman"/>
          <w:sz w:val="24"/>
          <w:szCs w:val="24"/>
        </w:rPr>
        <w:t xml:space="preserve"> Germ-line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is inferred in cases in which unaffected parents have multiple affected offspring.</w:t>
      </w:r>
      <w:hyperlink r:id="rId34" w:anchor="ref20" w:tgtFrame="_blank" w:history="1">
        <w:r w:rsidRPr="007A612C">
          <w:rPr>
            <w:rFonts w:ascii="Times New Roman" w:eastAsia="Times New Roman" w:hAnsi="Times New Roman" w:cs="Times New Roman"/>
            <w:color w:val="0066CC"/>
            <w:sz w:val="24"/>
            <w:szCs w:val="24"/>
            <w:u w:val="single"/>
          </w:rPr>
          <w:t>20</w:t>
        </w:r>
        <w:proofErr w:type="gramStart"/>
        <w:r w:rsidRPr="007A612C">
          <w:rPr>
            <w:rFonts w:ascii="Times New Roman" w:eastAsia="Times New Roman" w:hAnsi="Times New Roman" w:cs="Times New Roman"/>
            <w:color w:val="0066CC"/>
            <w:sz w:val="24"/>
            <w:szCs w:val="24"/>
            <w:u w:val="single"/>
          </w:rPr>
          <w:t>,22</w:t>
        </w:r>
        <w:proofErr w:type="gramEnd"/>
        <w:r w:rsidRPr="007A612C">
          <w:rPr>
            <w:rFonts w:ascii="Times New Roman" w:eastAsia="Times New Roman" w:hAnsi="Times New Roman" w:cs="Times New Roman"/>
            <w:color w:val="0066CC"/>
            <w:sz w:val="24"/>
            <w:szCs w:val="24"/>
            <w:u w:val="single"/>
          </w:rPr>
          <w:t>-25</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timing of mutagenesis is a critical factor in genetic counseling. Gametal mutations are associated with a negligible risk of recurrence, whereas germ-line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(which may not be identified until after the birth of two affected children) is associated with a high risk of recurrence. The timing for germ-line and somatic </w:t>
      </w:r>
      <w:proofErr w:type="spellStart"/>
      <w:r w:rsidRPr="007A612C">
        <w:rPr>
          <w:rFonts w:ascii="Times New Roman" w:eastAsia="Times New Roman" w:hAnsi="Times New Roman" w:cs="Times New Roman"/>
          <w:sz w:val="24"/>
          <w:szCs w:val="24"/>
        </w:rPr>
        <w:t>mosaicisms</w:t>
      </w:r>
      <w:proofErr w:type="spellEnd"/>
      <w:r w:rsidRPr="007A612C">
        <w:rPr>
          <w:rFonts w:ascii="Times New Roman" w:eastAsia="Times New Roman" w:hAnsi="Times New Roman" w:cs="Times New Roman"/>
          <w:sz w:val="24"/>
          <w:szCs w:val="24"/>
        </w:rPr>
        <w:t xml:space="preserve"> is illustrated in </w:t>
      </w:r>
      <w:hyperlink r:id="rId35" w:tgtFrame="_blank" w:history="1">
        <w:r w:rsidRPr="007A612C">
          <w:rPr>
            <w:rFonts w:ascii="Times New Roman" w:eastAsia="Times New Roman" w:hAnsi="Times New Roman" w:cs="Times New Roman"/>
            <w:color w:val="0066CC"/>
            <w:sz w:val="24"/>
            <w:szCs w:val="24"/>
            <w:u w:val="single"/>
          </w:rPr>
          <w:t>Figure 2</w:t>
        </w:r>
      </w:hyperlink>
      <w:r w:rsidRPr="007A612C">
        <w:rPr>
          <w:rFonts w:ascii="Times New Roman" w:eastAsia="Times New Roman" w:hAnsi="Times New Roman" w:cs="Times New Roman"/>
          <w:sz w:val="24"/>
          <w:szCs w:val="24"/>
        </w:rPr>
        <w:t>Figure 2</w:t>
      </w:r>
      <w:r>
        <w:rPr>
          <w:rFonts w:ascii="Times New Roman" w:eastAsia="Times New Roman" w:hAnsi="Times New Roman" w:cs="Times New Roman"/>
          <w:noProof/>
          <w:color w:val="0066CC"/>
          <w:sz w:val="24"/>
          <w:szCs w:val="24"/>
        </w:rPr>
        <w:drawing>
          <wp:inline distT="0" distB="0" distL="0" distR="0">
            <wp:extent cx="1052195" cy="750570"/>
            <wp:effectExtent l="19050" t="0" r="0" b="0"/>
            <wp:docPr id="6" name="Picture 6" descr="http://www.nejm.org/na102/home/ACS/publisher/mms/journals/content/nejm/2010/nejm_2010.363.issue-14/nejmoa0910752/production/images/small/nejmoa0910752_f2.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jm.org/na102/home/ACS/publisher/mms/journals/content/nejm/2010/nejm_2010.363.issue-14/nejmoa0910752/production/images/small/nejmoa0910752_f2.gif">
                      <a:hlinkClick r:id="rId8" tgtFrame="_blank"/>
                    </pic:cNvPr>
                    <pic:cNvPicPr>
                      <a:picLocks noChangeAspect="1" noChangeArrowheads="1"/>
                    </pic:cNvPicPr>
                  </pic:nvPicPr>
                  <pic:blipFill>
                    <a:blip r:embed="rId9" cstate="print"/>
                    <a:srcRect/>
                    <a:stretch>
                      <a:fillRect/>
                    </a:stretch>
                  </pic:blipFill>
                  <pic:spPr bwMode="auto">
                    <a:xfrm>
                      <a:off x="0" y="0"/>
                      <a:ext cx="1052195" cy="750570"/>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sz w:val="24"/>
          <w:szCs w:val="24"/>
        </w:rPr>
        <w:t xml:space="preserve">Timing of Mutations in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w:t>
      </w:r>
      <w:proofErr w:type="gramStart"/>
      <w:r w:rsidRPr="007A612C">
        <w:rPr>
          <w:rFonts w:ascii="Times New Roman" w:eastAsia="Times New Roman" w:hAnsi="Times New Roman" w:cs="Times New Roman"/>
          <w:sz w:val="24"/>
          <w:szCs w:val="24"/>
        </w:rPr>
        <w:t>..</w:t>
      </w:r>
      <w:proofErr w:type="gramEnd"/>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findings in twin pair 3 are instructive with respect to the timing of mutagenesis. Since the mutation was found in all cell lines from different tissues in 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but not in her twin, the de novo mutation probably occurred in the </w:t>
      </w:r>
      <w:proofErr w:type="spellStart"/>
      <w:r w:rsidRPr="007A612C">
        <w:rPr>
          <w:rFonts w:ascii="Times New Roman" w:eastAsia="Times New Roman" w:hAnsi="Times New Roman" w:cs="Times New Roman"/>
          <w:sz w:val="24"/>
          <w:szCs w:val="24"/>
        </w:rPr>
        <w:t>premorula</w:t>
      </w:r>
      <w:proofErr w:type="spellEnd"/>
      <w:r w:rsidRPr="007A612C">
        <w:rPr>
          <w:rFonts w:ascii="Times New Roman" w:eastAsia="Times New Roman" w:hAnsi="Times New Roman" w:cs="Times New Roman"/>
          <w:sz w:val="24"/>
          <w:szCs w:val="24"/>
        </w:rPr>
        <w:t xml:space="preserve"> embryo, most likely at the two-cell stage. The mutation may have occurred before or after the actual twinning process. If the de novo mutation occurred in the four-cell stage or later, the possibility of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would then arise. The implication for genetic counseling is that in a discordant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 without evidence of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the risk that the mutation will recur is negligible.</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Similar timing could be postulated for the two other twin pairs in which the affected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had a de novo mutation in a single gene, but the analysis of DNA, which was restricted to peripheral-blood leukocytes, precluded a more precise estimate of the timing.</w:t>
      </w:r>
      <w:hyperlink r:id="rId36" w:anchor="ref3" w:tgtFrame="_blank" w:history="1">
        <w:r w:rsidRPr="007A612C">
          <w:rPr>
            <w:rFonts w:ascii="Times New Roman" w:eastAsia="Times New Roman" w:hAnsi="Times New Roman" w:cs="Times New Roman"/>
            <w:color w:val="0066CC"/>
            <w:sz w:val="24"/>
            <w:szCs w:val="24"/>
            <w:u w:val="single"/>
          </w:rPr>
          <w:t>3</w:t>
        </w:r>
        <w:proofErr w:type="gramStart"/>
        <w:r w:rsidRPr="007A612C">
          <w:rPr>
            <w:rFonts w:ascii="Times New Roman" w:eastAsia="Times New Roman" w:hAnsi="Times New Roman" w:cs="Times New Roman"/>
            <w:color w:val="0066CC"/>
            <w:sz w:val="24"/>
            <w:szCs w:val="24"/>
            <w:u w:val="single"/>
          </w:rPr>
          <w:t>,4</w:t>
        </w:r>
        <w:proofErr w:type="gramEnd"/>
      </w:hyperlink>
      <w:r w:rsidRPr="007A612C">
        <w:rPr>
          <w:rFonts w:ascii="Times New Roman" w:eastAsia="Times New Roman" w:hAnsi="Times New Roman" w:cs="Times New Roman"/>
          <w:sz w:val="24"/>
          <w:szCs w:val="24"/>
        </w:rPr>
        <w:t xml:space="preserve"> Our study highlights the value of studies in twins to determine the timing of de novo mutagenesis.</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gramStart"/>
      <w:r w:rsidRPr="007A612C">
        <w:rPr>
          <w:rFonts w:ascii="Times New Roman" w:eastAsia="Times New Roman" w:hAnsi="Times New Roman" w:cs="Times New Roman"/>
          <w:sz w:val="24"/>
          <w:szCs w:val="24"/>
        </w:rPr>
        <w:t>Supported by the National Health and Medical Research Council of Australia.</w:t>
      </w:r>
      <w:proofErr w:type="gramEnd"/>
    </w:p>
    <w:p w:rsidR="007A612C" w:rsidRPr="007A612C" w:rsidRDefault="007A612C" w:rsidP="007A612C">
      <w:pPr>
        <w:spacing w:after="0" w:line="240" w:lineRule="auto"/>
        <w:ind w:left="856"/>
        <w:rPr>
          <w:rFonts w:ascii="Times New Roman" w:eastAsia="Times New Roman" w:hAnsi="Times New Roman" w:cs="Times New Roman"/>
          <w:sz w:val="24"/>
          <w:szCs w:val="24"/>
        </w:rPr>
      </w:pPr>
      <w:hyperlink r:id="rId37" w:tgtFrame="_blank" w:history="1">
        <w:r w:rsidRPr="007A612C">
          <w:rPr>
            <w:rFonts w:ascii="Times New Roman" w:eastAsia="Times New Roman" w:hAnsi="Times New Roman" w:cs="Times New Roman"/>
            <w:color w:val="0066CC"/>
            <w:sz w:val="24"/>
            <w:szCs w:val="24"/>
            <w:u w:val="single"/>
          </w:rPr>
          <w:t>Disclosure forms</w:t>
        </w:r>
      </w:hyperlink>
      <w:r w:rsidRPr="007A612C">
        <w:rPr>
          <w:rFonts w:ascii="Times New Roman" w:eastAsia="Times New Roman" w:hAnsi="Times New Roman" w:cs="Times New Roman"/>
          <w:sz w:val="24"/>
          <w:szCs w:val="24"/>
        </w:rPr>
        <w:t xml:space="preserve"> provided by the authors are available with the full text of this article at NEJM.org.</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We thank the Australian Twin Registry, Robert Briggs for performing nasal biopsies, Louise Harkin for help with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screening, John Mulley and Peter </w:t>
      </w:r>
      <w:proofErr w:type="spellStart"/>
      <w:r w:rsidRPr="007A612C">
        <w:rPr>
          <w:rFonts w:ascii="Times New Roman" w:eastAsia="Times New Roman" w:hAnsi="Times New Roman" w:cs="Times New Roman"/>
          <w:sz w:val="24"/>
          <w:szCs w:val="24"/>
        </w:rPr>
        <w:t>Koopman</w:t>
      </w:r>
      <w:proofErr w:type="spellEnd"/>
      <w:r w:rsidRPr="007A612C">
        <w:rPr>
          <w:rFonts w:ascii="Times New Roman" w:eastAsia="Times New Roman" w:hAnsi="Times New Roman" w:cs="Times New Roman"/>
          <w:sz w:val="24"/>
          <w:szCs w:val="24"/>
        </w:rPr>
        <w:t xml:space="preserve"> for their review of an earlier version of the manuscript, and Jeff Murray for his advice.</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Source Information</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From the Epilepsy Research Center, Austin Health, University of Melbourne (L.V., K.M.L., J.M.M., I.E.S., S.F.B.), and Royal Children's Hospital (I.E.S.) - both in Melbourne, VIC; the University of Queensland and Royal Brisbane and Women's Hospital (L.V.) and the National Center for Adult Stem Cell Research, Griffith University (W.M., A.M.-S.) - all in Brisbane, QLD; the Epilepsy Research Program, SA Pathology at Women's and Children's Hospital, North Adelaide, SA (L.M.D., X.I.); and the School of Pediatrics and Reproductive Health, University of Adelaide, Adelaide, SA (L.M.D.) - all in Australia; and the </w:t>
      </w:r>
      <w:proofErr w:type="spellStart"/>
      <w:r w:rsidRPr="007A612C">
        <w:rPr>
          <w:rFonts w:ascii="Times New Roman" w:eastAsia="Times New Roman" w:hAnsi="Times New Roman" w:cs="Times New Roman"/>
          <w:sz w:val="24"/>
          <w:szCs w:val="24"/>
        </w:rPr>
        <w:t>Vilhelm</w:t>
      </w:r>
      <w:proofErr w:type="spellEnd"/>
      <w:r w:rsidRPr="007A612C">
        <w:rPr>
          <w:rFonts w:ascii="Times New Roman" w:eastAsia="Times New Roman" w:hAnsi="Times New Roman" w:cs="Times New Roman"/>
          <w:sz w:val="24"/>
          <w:szCs w:val="24"/>
        </w:rPr>
        <w:t xml:space="preserve"> Magnus Center, Institute for Surgical Research, </w:t>
      </w:r>
      <w:proofErr w:type="spellStart"/>
      <w:r w:rsidRPr="007A612C">
        <w:rPr>
          <w:rFonts w:ascii="Times New Roman" w:eastAsia="Times New Roman" w:hAnsi="Times New Roman" w:cs="Times New Roman"/>
          <w:sz w:val="24"/>
          <w:szCs w:val="24"/>
        </w:rPr>
        <w:t>Rikshospital</w:t>
      </w:r>
      <w:proofErr w:type="spellEnd"/>
      <w:r w:rsidRPr="007A612C">
        <w:rPr>
          <w:rFonts w:ascii="Times New Roman" w:eastAsia="Times New Roman" w:hAnsi="Times New Roman" w:cs="Times New Roman"/>
          <w:sz w:val="24"/>
          <w:szCs w:val="24"/>
        </w:rPr>
        <w:t>, University of Oslo, Oslo (W.M.).</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lastRenderedPageBreak/>
        <w:t xml:space="preserve">Address reprint requests to Dr. </w:t>
      </w:r>
      <w:proofErr w:type="spellStart"/>
      <w:r w:rsidRPr="007A612C">
        <w:rPr>
          <w:rFonts w:ascii="Times New Roman" w:eastAsia="Times New Roman" w:hAnsi="Times New Roman" w:cs="Times New Roman"/>
          <w:sz w:val="24"/>
          <w:szCs w:val="24"/>
        </w:rPr>
        <w:t>Berkovic</w:t>
      </w:r>
      <w:proofErr w:type="spellEnd"/>
      <w:r w:rsidRPr="007A612C">
        <w:rPr>
          <w:rFonts w:ascii="Times New Roman" w:eastAsia="Times New Roman" w:hAnsi="Times New Roman" w:cs="Times New Roman"/>
          <w:sz w:val="24"/>
          <w:szCs w:val="24"/>
        </w:rPr>
        <w:t xml:space="preserve"> at the Epilepsy Research Centre, 1st Fl., Neurosciences Bldg., Repatriation Campus, Austin Health, </w:t>
      </w:r>
      <w:proofErr w:type="spellStart"/>
      <w:r w:rsidRPr="007A612C">
        <w:rPr>
          <w:rFonts w:ascii="Times New Roman" w:eastAsia="Times New Roman" w:hAnsi="Times New Roman" w:cs="Times New Roman"/>
          <w:sz w:val="24"/>
          <w:szCs w:val="24"/>
        </w:rPr>
        <w:t>Banksia</w:t>
      </w:r>
      <w:proofErr w:type="spellEnd"/>
      <w:r w:rsidRPr="007A612C">
        <w:rPr>
          <w:rFonts w:ascii="Times New Roman" w:eastAsia="Times New Roman" w:hAnsi="Times New Roman" w:cs="Times New Roman"/>
          <w:sz w:val="24"/>
          <w:szCs w:val="24"/>
        </w:rPr>
        <w:t xml:space="preserve"> St., Heidelberg West, Melbourne, VIC, Australia, or at </w:t>
      </w:r>
      <w:hyperlink r:id="rId38" w:tgtFrame="_blank" w:history="1">
        <w:r w:rsidRPr="007A612C">
          <w:rPr>
            <w:rFonts w:ascii="Times New Roman" w:eastAsia="Times New Roman" w:hAnsi="Times New Roman" w:cs="Times New Roman"/>
            <w:color w:val="0066CC"/>
            <w:sz w:val="24"/>
            <w:szCs w:val="24"/>
            <w:u w:val="single"/>
          </w:rPr>
          <w:t>s.berkovic@unimelb.edu.au</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before="100" w:beforeAutospacing="1" w:after="100" w:afterAutospacing="1" w:line="240" w:lineRule="auto"/>
        <w:ind w:left="856"/>
        <w:outlineLvl w:val="0"/>
        <w:rPr>
          <w:rFonts w:ascii="Times New Roman" w:eastAsia="Times New Roman" w:hAnsi="Times New Roman" w:cs="Times New Roman"/>
          <w:b/>
          <w:bCs/>
          <w:kern w:val="36"/>
          <w:sz w:val="48"/>
          <w:szCs w:val="48"/>
        </w:rPr>
      </w:pPr>
      <w:r w:rsidRPr="007A612C">
        <w:rPr>
          <w:rFonts w:ascii="Times New Roman" w:eastAsia="Times New Roman" w:hAnsi="Times New Roman" w:cs="Times New Roman"/>
          <w:b/>
          <w:bCs/>
          <w:kern w:val="36"/>
          <w:sz w:val="48"/>
          <w:szCs w:val="48"/>
        </w:rPr>
        <w:t>Timing of De Novo Mutagenesis - A Twin Study of Sodium-Channel Mutations</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spellStart"/>
      <w:r w:rsidRPr="007A612C">
        <w:rPr>
          <w:rFonts w:ascii="Times New Roman" w:eastAsia="Times New Roman" w:hAnsi="Times New Roman" w:cs="Times New Roman"/>
          <w:sz w:val="24"/>
          <w:szCs w:val="24"/>
        </w:rPr>
        <w:t>Lata</w:t>
      </w:r>
      <w:proofErr w:type="spellEnd"/>
      <w:r w:rsidRPr="007A612C">
        <w:rPr>
          <w:rFonts w:ascii="Times New Roman" w:eastAsia="Times New Roman" w:hAnsi="Times New Roman" w:cs="Times New Roman"/>
          <w:sz w:val="24"/>
          <w:szCs w:val="24"/>
        </w:rPr>
        <w:t xml:space="preserve"> </w:t>
      </w:r>
      <w:proofErr w:type="spellStart"/>
      <w:r w:rsidRPr="007A612C">
        <w:rPr>
          <w:rFonts w:ascii="Times New Roman" w:eastAsia="Times New Roman" w:hAnsi="Times New Roman" w:cs="Times New Roman"/>
          <w:sz w:val="24"/>
          <w:szCs w:val="24"/>
        </w:rPr>
        <w:t>Vadlamudi</w:t>
      </w:r>
      <w:proofErr w:type="spellEnd"/>
      <w:r w:rsidRPr="007A612C">
        <w:rPr>
          <w:rFonts w:ascii="Times New Roman" w:eastAsia="Times New Roman" w:hAnsi="Times New Roman" w:cs="Times New Roman"/>
          <w:sz w:val="24"/>
          <w:szCs w:val="24"/>
        </w:rPr>
        <w:t xml:space="preserve">, M.B., B.S., Ph.D., Leanne M. </w:t>
      </w:r>
      <w:proofErr w:type="spellStart"/>
      <w:r w:rsidRPr="007A612C">
        <w:rPr>
          <w:rFonts w:ascii="Times New Roman" w:eastAsia="Times New Roman" w:hAnsi="Times New Roman" w:cs="Times New Roman"/>
          <w:sz w:val="24"/>
          <w:szCs w:val="24"/>
        </w:rPr>
        <w:t>Dibbens</w:t>
      </w:r>
      <w:proofErr w:type="spellEnd"/>
      <w:r w:rsidRPr="007A612C">
        <w:rPr>
          <w:rFonts w:ascii="Times New Roman" w:eastAsia="Times New Roman" w:hAnsi="Times New Roman" w:cs="Times New Roman"/>
          <w:sz w:val="24"/>
          <w:szCs w:val="24"/>
        </w:rPr>
        <w:t xml:space="preserve">, Ph.D., Kate M. Lawrence, B.Sc., Xenia Iona, </w:t>
      </w:r>
      <w:proofErr w:type="spellStart"/>
      <w:r w:rsidRPr="007A612C">
        <w:rPr>
          <w:rFonts w:ascii="Times New Roman" w:eastAsia="Times New Roman" w:hAnsi="Times New Roman" w:cs="Times New Roman"/>
          <w:sz w:val="24"/>
          <w:szCs w:val="24"/>
        </w:rPr>
        <w:t>Dip.Biomed.Sci</w:t>
      </w:r>
      <w:proofErr w:type="spellEnd"/>
      <w:r w:rsidRPr="007A612C">
        <w:rPr>
          <w:rFonts w:ascii="Times New Roman" w:eastAsia="Times New Roman" w:hAnsi="Times New Roman" w:cs="Times New Roman"/>
          <w:sz w:val="24"/>
          <w:szCs w:val="24"/>
        </w:rPr>
        <w:t>., Jacinta M. McMahon, B.Sc., Wayne Murrell, Ph.D., Alan Mackay-</w:t>
      </w:r>
      <w:proofErr w:type="spellStart"/>
      <w:r w:rsidRPr="007A612C">
        <w:rPr>
          <w:rFonts w:ascii="Times New Roman" w:eastAsia="Times New Roman" w:hAnsi="Times New Roman" w:cs="Times New Roman"/>
          <w:sz w:val="24"/>
          <w:szCs w:val="24"/>
        </w:rPr>
        <w:t>Sim</w:t>
      </w:r>
      <w:proofErr w:type="spellEnd"/>
      <w:r w:rsidRPr="007A612C">
        <w:rPr>
          <w:rFonts w:ascii="Times New Roman" w:eastAsia="Times New Roman" w:hAnsi="Times New Roman" w:cs="Times New Roman"/>
          <w:sz w:val="24"/>
          <w:szCs w:val="24"/>
        </w:rPr>
        <w:t xml:space="preserve">, Ph.D., Ingrid E. </w:t>
      </w:r>
      <w:proofErr w:type="spellStart"/>
      <w:r w:rsidRPr="007A612C">
        <w:rPr>
          <w:rFonts w:ascii="Times New Roman" w:eastAsia="Times New Roman" w:hAnsi="Times New Roman" w:cs="Times New Roman"/>
          <w:sz w:val="24"/>
          <w:szCs w:val="24"/>
        </w:rPr>
        <w:t>Scheffer</w:t>
      </w:r>
      <w:proofErr w:type="spellEnd"/>
      <w:r w:rsidRPr="007A612C">
        <w:rPr>
          <w:rFonts w:ascii="Times New Roman" w:eastAsia="Times New Roman" w:hAnsi="Times New Roman" w:cs="Times New Roman"/>
          <w:sz w:val="24"/>
          <w:szCs w:val="24"/>
        </w:rPr>
        <w:t xml:space="preserve">, M.B., B.S., Ph.D., and Samuel F. </w:t>
      </w:r>
      <w:proofErr w:type="spellStart"/>
      <w:r w:rsidRPr="007A612C">
        <w:rPr>
          <w:rFonts w:ascii="Times New Roman" w:eastAsia="Times New Roman" w:hAnsi="Times New Roman" w:cs="Times New Roman"/>
          <w:sz w:val="24"/>
          <w:szCs w:val="24"/>
        </w:rPr>
        <w:t>Berkovic</w:t>
      </w:r>
      <w:proofErr w:type="spellEnd"/>
      <w:r w:rsidRPr="007A612C">
        <w:rPr>
          <w:rFonts w:ascii="Times New Roman" w:eastAsia="Times New Roman" w:hAnsi="Times New Roman" w:cs="Times New Roman"/>
          <w:sz w:val="24"/>
          <w:szCs w:val="24"/>
        </w:rPr>
        <w:t>, M.D.</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N </w:t>
      </w:r>
      <w:proofErr w:type="spellStart"/>
      <w:r w:rsidRPr="007A612C">
        <w:rPr>
          <w:rFonts w:ascii="Times New Roman" w:eastAsia="Times New Roman" w:hAnsi="Times New Roman" w:cs="Times New Roman"/>
          <w:sz w:val="24"/>
          <w:szCs w:val="24"/>
        </w:rPr>
        <w:t>Engl</w:t>
      </w:r>
      <w:proofErr w:type="spellEnd"/>
      <w:r w:rsidRPr="007A612C">
        <w:rPr>
          <w:rFonts w:ascii="Times New Roman" w:eastAsia="Times New Roman" w:hAnsi="Times New Roman" w:cs="Times New Roman"/>
          <w:sz w:val="24"/>
          <w:szCs w:val="24"/>
        </w:rPr>
        <w:t xml:space="preserve"> J Med 2010; 363:1335-1340</w:t>
      </w:r>
      <w:hyperlink r:id="rId39" w:tgtFrame="_blank" w:history="1">
        <w:r w:rsidRPr="007A612C">
          <w:rPr>
            <w:rFonts w:ascii="Times New Roman" w:eastAsia="Times New Roman" w:hAnsi="Times New Roman" w:cs="Times New Roman"/>
            <w:color w:val="0066CC"/>
            <w:sz w:val="24"/>
            <w:szCs w:val="24"/>
            <w:u w:val="single"/>
          </w:rPr>
          <w:t>September 30, 2010</w:t>
        </w:r>
      </w:hyperlink>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Summary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Article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References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Citing Articles (2) </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r w:rsidRPr="007A612C">
        <w:rPr>
          <w:rFonts w:ascii="Times New Roman" w:eastAsia="Times New Roman" w:hAnsi="Times New Roman" w:cs="Times New Roman"/>
          <w:vanish/>
          <w:sz w:val="24"/>
          <w:szCs w:val="24"/>
        </w:rPr>
        <w:t>De novo mutations are a cause of sporadic disease, but little is known about the developmental timing of such mutations. We studied concordant and discordant monozygous twins with de novo mutations in the sodium channel α1 subunit gene (</w:t>
      </w:r>
      <w:r w:rsidRPr="007A612C">
        <w:rPr>
          <w:rFonts w:ascii="Times New Roman" w:eastAsia="Times New Roman" w:hAnsi="Times New Roman" w:cs="Times New Roman"/>
          <w:i/>
          <w:iCs/>
          <w:vanish/>
          <w:sz w:val="24"/>
          <w:szCs w:val="24"/>
        </w:rPr>
        <w:t>SCN1A</w:t>
      </w:r>
      <w:r w:rsidRPr="007A612C">
        <w:rPr>
          <w:rFonts w:ascii="Times New Roman" w:eastAsia="Times New Roman" w:hAnsi="Times New Roman" w:cs="Times New Roman"/>
          <w:vanish/>
          <w:sz w:val="24"/>
          <w:szCs w:val="24"/>
        </w:rPr>
        <w:t xml:space="preserve">) causing Dravet's syndrome, a severe epileptic encephalopathy. On the basis of our findings and the literature on mosaic cases, we conclude that de novo mutations in </w:t>
      </w:r>
      <w:r w:rsidRPr="007A612C">
        <w:rPr>
          <w:rFonts w:ascii="Times New Roman" w:eastAsia="Times New Roman" w:hAnsi="Times New Roman" w:cs="Times New Roman"/>
          <w:i/>
          <w:iCs/>
          <w:vanish/>
          <w:sz w:val="24"/>
          <w:szCs w:val="24"/>
        </w:rPr>
        <w:t>SCN1A</w:t>
      </w:r>
      <w:r w:rsidRPr="007A612C">
        <w:rPr>
          <w:rFonts w:ascii="Times New Roman" w:eastAsia="Times New Roman" w:hAnsi="Times New Roman" w:cs="Times New Roman"/>
          <w:vanish/>
          <w:sz w:val="24"/>
          <w:szCs w:val="24"/>
        </w:rPr>
        <w:t xml:space="preserve"> may occur at any time, from the premorula stage of the embryo (causing disease in the subject) to adulthood (with mutations in the germ-line cells of parents causing disease in offspring).</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hyperlink r:id="rId40" w:anchor="Top" w:tgtFrame="_blank" w:history="1">
        <w:r w:rsidRPr="007A612C">
          <w:rPr>
            <w:rFonts w:ascii="Times New Roman" w:eastAsia="Times New Roman" w:hAnsi="Times New Roman" w:cs="Times New Roman"/>
            <w:vanish/>
            <w:color w:val="0066CC"/>
            <w:sz w:val="24"/>
            <w:szCs w:val="24"/>
            <w:u w:val="single"/>
          </w:rPr>
          <w:t>Read the Full Article...</w:t>
        </w:r>
      </w:hyperlink>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vanish/>
          <w:sz w:val="27"/>
          <w:szCs w:val="27"/>
        </w:rPr>
      </w:pPr>
      <w:r w:rsidRPr="007A612C">
        <w:rPr>
          <w:rFonts w:ascii="Times New Roman" w:eastAsia="Times New Roman" w:hAnsi="Times New Roman" w:cs="Times New Roman"/>
          <w:b/>
          <w:bCs/>
          <w:vanish/>
          <w:sz w:val="27"/>
          <w:szCs w:val="27"/>
        </w:rPr>
        <w:t>Media in This Article</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r w:rsidRPr="007A612C">
        <w:rPr>
          <w:rFonts w:ascii="Times New Roman" w:eastAsia="Times New Roman" w:hAnsi="Times New Roman" w:cs="Times New Roman"/>
          <w:vanish/>
          <w:sz w:val="24"/>
          <w:szCs w:val="24"/>
        </w:rPr>
        <w:t>Figure 1</w:t>
      </w:r>
      <w:r>
        <w:rPr>
          <w:rFonts w:ascii="Times New Roman" w:eastAsia="Times New Roman" w:hAnsi="Times New Roman" w:cs="Times New Roman"/>
          <w:noProof/>
          <w:vanish/>
          <w:color w:val="0066CC"/>
          <w:sz w:val="24"/>
          <w:szCs w:val="24"/>
        </w:rPr>
        <w:drawing>
          <wp:inline distT="0" distB="0" distL="0" distR="0">
            <wp:extent cx="483235" cy="1052195"/>
            <wp:effectExtent l="19050" t="0" r="0" b="0"/>
            <wp:docPr id="7" name="Picture 7" descr="http://www.nejm.org/na102/home/ACS/publisher/mms/journals/content/nejm/2010/nejm_2010.363.issue-14/nejmoa0910752/production/images/small/nejmoa0910752_f1.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jm.org/na102/home/ACS/publisher/mms/journals/content/nejm/2010/nejm_2010.363.issue-14/nejmoa0910752/production/images/small/nejmoa0910752_f1.gif">
                      <a:hlinkClick r:id="rId6" tgtFrame="_blank"/>
                    </pic:cNvPr>
                    <pic:cNvPicPr>
                      <a:picLocks noChangeAspect="1" noChangeArrowheads="1"/>
                    </pic:cNvPicPr>
                  </pic:nvPicPr>
                  <pic:blipFill>
                    <a:blip r:embed="rId7" cstate="print"/>
                    <a:srcRect/>
                    <a:stretch>
                      <a:fillRect/>
                    </a:stretch>
                  </pic:blipFill>
                  <pic:spPr bwMode="auto">
                    <a:xfrm>
                      <a:off x="0" y="0"/>
                      <a:ext cx="483235" cy="1052195"/>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vanish/>
          <w:sz w:val="24"/>
          <w:szCs w:val="24"/>
        </w:rPr>
        <w:t>DNA Sequencing for a Monozygous Twin Pair Discordant for Dravet's Syndrome.</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r w:rsidRPr="007A612C">
        <w:rPr>
          <w:rFonts w:ascii="Times New Roman" w:eastAsia="Times New Roman" w:hAnsi="Times New Roman" w:cs="Times New Roman"/>
          <w:vanish/>
          <w:sz w:val="24"/>
          <w:szCs w:val="24"/>
        </w:rPr>
        <w:t>Figure 2</w:t>
      </w:r>
      <w:r>
        <w:rPr>
          <w:rFonts w:ascii="Times New Roman" w:eastAsia="Times New Roman" w:hAnsi="Times New Roman" w:cs="Times New Roman"/>
          <w:noProof/>
          <w:vanish/>
          <w:color w:val="0066CC"/>
          <w:sz w:val="24"/>
          <w:szCs w:val="24"/>
        </w:rPr>
        <w:drawing>
          <wp:inline distT="0" distB="0" distL="0" distR="0">
            <wp:extent cx="1052195" cy="750570"/>
            <wp:effectExtent l="19050" t="0" r="0" b="0"/>
            <wp:docPr id="8" name="Picture 8" descr="http://www.nejm.org/na102/home/ACS/publisher/mms/journals/content/nejm/2010/nejm_2010.363.issue-14/nejmoa0910752/production/images/small/nejmoa0910752_f2.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jm.org/na102/home/ACS/publisher/mms/journals/content/nejm/2010/nejm_2010.363.issue-14/nejmoa0910752/production/images/small/nejmoa0910752_f2.gif">
                      <a:hlinkClick r:id="rId8" tgtFrame="_blank"/>
                    </pic:cNvPr>
                    <pic:cNvPicPr>
                      <a:picLocks noChangeAspect="1" noChangeArrowheads="1"/>
                    </pic:cNvPicPr>
                  </pic:nvPicPr>
                  <pic:blipFill>
                    <a:blip r:embed="rId9" cstate="print"/>
                    <a:srcRect/>
                    <a:stretch>
                      <a:fillRect/>
                    </a:stretch>
                  </pic:blipFill>
                  <pic:spPr bwMode="auto">
                    <a:xfrm>
                      <a:off x="0" y="0"/>
                      <a:ext cx="1052195" cy="750570"/>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vanish/>
          <w:sz w:val="24"/>
          <w:szCs w:val="24"/>
        </w:rPr>
        <w:t>Timing of Mutations in Dravet's Syndrome.</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vanish/>
          <w:sz w:val="27"/>
          <w:szCs w:val="27"/>
        </w:rPr>
      </w:pPr>
      <w:r w:rsidRPr="007A612C">
        <w:rPr>
          <w:rFonts w:ascii="Times New Roman" w:eastAsia="Times New Roman" w:hAnsi="Times New Roman" w:cs="Times New Roman"/>
          <w:b/>
          <w:bCs/>
          <w:vanish/>
          <w:sz w:val="27"/>
          <w:szCs w:val="27"/>
        </w:rPr>
        <w:t>Article Activity</w:t>
      </w:r>
    </w:p>
    <w:p w:rsidR="007A612C" w:rsidRPr="007A612C" w:rsidRDefault="007A612C" w:rsidP="007A612C">
      <w:pPr>
        <w:spacing w:after="0" w:line="240" w:lineRule="auto"/>
        <w:ind w:left="856"/>
        <w:rPr>
          <w:rFonts w:ascii="Times New Roman" w:eastAsia="Times New Roman" w:hAnsi="Times New Roman" w:cs="Times New Roman"/>
          <w:vanish/>
          <w:sz w:val="24"/>
          <w:szCs w:val="24"/>
        </w:rPr>
      </w:pPr>
      <w:hyperlink r:id="rId41" w:anchor="citedby" w:tgtFrame="_blank" w:history="1">
        <w:r w:rsidRPr="007A612C">
          <w:rPr>
            <w:rFonts w:ascii="Times New Roman" w:eastAsia="Times New Roman" w:hAnsi="Times New Roman" w:cs="Times New Roman"/>
            <w:vanish/>
            <w:color w:val="0066CC"/>
            <w:sz w:val="24"/>
            <w:szCs w:val="24"/>
            <w:u w:val="single"/>
          </w:rPr>
          <w:t>2 articles have cited this article</w:t>
        </w:r>
      </w:hyperlink>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De novo mutations cause sporadic forms of a range of </w:t>
      </w:r>
      <w:proofErr w:type="spellStart"/>
      <w:r w:rsidRPr="007A612C">
        <w:rPr>
          <w:rFonts w:ascii="Times New Roman" w:eastAsia="Times New Roman" w:hAnsi="Times New Roman" w:cs="Times New Roman"/>
          <w:sz w:val="24"/>
          <w:szCs w:val="24"/>
        </w:rPr>
        <w:t>mendelian</w:t>
      </w:r>
      <w:proofErr w:type="spellEnd"/>
      <w:r w:rsidRPr="007A612C">
        <w:rPr>
          <w:rFonts w:ascii="Times New Roman" w:eastAsia="Times New Roman" w:hAnsi="Times New Roman" w:cs="Times New Roman"/>
          <w:sz w:val="24"/>
          <w:szCs w:val="24"/>
        </w:rPr>
        <w:t xml:space="preserve"> disorders, including tuberous sclerosis, neurofibromatosis, achondroplasia</w:t>
      </w:r>
      <w:proofErr w:type="gramStart"/>
      <w:r w:rsidRPr="007A612C">
        <w:rPr>
          <w:rFonts w:ascii="Times New Roman" w:eastAsia="Times New Roman" w:hAnsi="Times New Roman" w:cs="Times New Roman"/>
          <w:sz w:val="24"/>
          <w:szCs w:val="24"/>
        </w:rPr>
        <w:t>,</w:t>
      </w:r>
      <w:proofErr w:type="gramEnd"/>
      <w:r w:rsidRPr="007A612C">
        <w:rPr>
          <w:rFonts w:ascii="Times New Roman" w:eastAsia="Times New Roman" w:hAnsi="Times New Roman" w:cs="Times New Roman"/>
          <w:sz w:val="24"/>
          <w:szCs w:val="24"/>
        </w:rPr>
        <w:fldChar w:fldCharType="begin"/>
      </w:r>
      <w:r w:rsidRPr="007A612C">
        <w:rPr>
          <w:rFonts w:ascii="Times New Roman" w:eastAsia="Times New Roman" w:hAnsi="Times New Roman" w:cs="Times New Roman"/>
          <w:sz w:val="24"/>
          <w:szCs w:val="24"/>
        </w:rPr>
        <w:instrText xml:space="preserve"> HYPERLINK "http://www.nejm.org/doi/full/10.1056/NEJMoa0910752" \l "ref1" \t "_blank" </w:instrText>
      </w:r>
      <w:r w:rsidRPr="007A612C">
        <w:rPr>
          <w:rFonts w:ascii="Times New Roman" w:eastAsia="Times New Roman" w:hAnsi="Times New Roman" w:cs="Times New Roman"/>
          <w:sz w:val="24"/>
          <w:szCs w:val="24"/>
        </w:rPr>
        <w:fldChar w:fldCharType="separate"/>
      </w:r>
      <w:r w:rsidRPr="007A612C">
        <w:rPr>
          <w:rFonts w:ascii="Times New Roman" w:eastAsia="Times New Roman" w:hAnsi="Times New Roman" w:cs="Times New Roman"/>
          <w:color w:val="0066CC"/>
          <w:sz w:val="24"/>
          <w:szCs w:val="24"/>
          <w:u w:val="single"/>
        </w:rPr>
        <w:t>1</w:t>
      </w:r>
      <w:r w:rsidRPr="007A612C">
        <w:rPr>
          <w:rFonts w:ascii="Times New Roman" w:eastAsia="Times New Roman" w:hAnsi="Times New Roman" w:cs="Times New Roman"/>
          <w:sz w:val="24"/>
          <w:szCs w:val="24"/>
        </w:rPr>
        <w:fldChar w:fldCharType="end"/>
      </w:r>
      <w:r w:rsidRPr="007A612C">
        <w:rPr>
          <w:rFonts w:ascii="Times New Roman" w:eastAsia="Times New Roman" w:hAnsi="Times New Roman" w:cs="Times New Roman"/>
          <w:sz w:val="24"/>
          <w:szCs w:val="24"/>
        </w:rPr>
        <w:t xml:space="preserve"> and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Recently, de novo copy-number variations have been identified as a cause of sporadic cases of some </w:t>
      </w:r>
      <w:proofErr w:type="spellStart"/>
      <w:proofErr w:type="gramStart"/>
      <w:r w:rsidRPr="007A612C">
        <w:rPr>
          <w:rFonts w:ascii="Times New Roman" w:eastAsia="Times New Roman" w:hAnsi="Times New Roman" w:cs="Times New Roman"/>
          <w:sz w:val="24"/>
          <w:szCs w:val="24"/>
        </w:rPr>
        <w:t>mendelian</w:t>
      </w:r>
      <w:proofErr w:type="spellEnd"/>
      <w:proofErr w:type="gramEnd"/>
      <w:r w:rsidRPr="007A612C">
        <w:rPr>
          <w:rFonts w:ascii="Times New Roman" w:eastAsia="Times New Roman" w:hAnsi="Times New Roman" w:cs="Times New Roman"/>
          <w:sz w:val="24"/>
          <w:szCs w:val="24"/>
        </w:rPr>
        <w:t xml:space="preserve"> disorders and perhaps more commonly as susceptibility alleles for complex disorders. Thus, de novo mutagenesis is an important mechanism in human disease and probably explains an appreciable fraction of sporadic and apparently </w:t>
      </w:r>
      <w:proofErr w:type="spellStart"/>
      <w:r w:rsidRPr="007A612C">
        <w:rPr>
          <w:rFonts w:ascii="Times New Roman" w:eastAsia="Times New Roman" w:hAnsi="Times New Roman" w:cs="Times New Roman"/>
          <w:sz w:val="24"/>
          <w:szCs w:val="24"/>
        </w:rPr>
        <w:t>nongenetic</w:t>
      </w:r>
      <w:proofErr w:type="spellEnd"/>
      <w:r w:rsidRPr="007A612C">
        <w:rPr>
          <w:rFonts w:ascii="Times New Roman" w:eastAsia="Times New Roman" w:hAnsi="Times New Roman" w:cs="Times New Roman"/>
          <w:sz w:val="24"/>
          <w:szCs w:val="24"/>
        </w:rPr>
        <w:t xml:space="preserve"> disorders.</w:t>
      </w:r>
      <w:hyperlink r:id="rId42" w:anchor="ref1" w:tgtFrame="_blank" w:history="1">
        <w:r w:rsidRPr="007A612C">
          <w:rPr>
            <w:rFonts w:ascii="Times New Roman" w:eastAsia="Times New Roman" w:hAnsi="Times New Roman" w:cs="Times New Roman"/>
            <w:color w:val="0066CC"/>
            <w:sz w:val="24"/>
            <w:szCs w:val="24"/>
            <w:u w:val="single"/>
          </w:rPr>
          <w:t>1</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Twins represent a unique resource for studying the timing of de novo mutagenesis. There are numerous case reports of genetic disorders in which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are </w:t>
      </w:r>
      <w:proofErr w:type="spellStart"/>
      <w:r w:rsidRPr="007A612C">
        <w:rPr>
          <w:rFonts w:ascii="Times New Roman" w:eastAsia="Times New Roman" w:hAnsi="Times New Roman" w:cs="Times New Roman"/>
          <w:sz w:val="24"/>
          <w:szCs w:val="24"/>
        </w:rPr>
        <w:t>phenotypically</w:t>
      </w:r>
      <w:proofErr w:type="spellEnd"/>
      <w:r w:rsidRPr="007A612C">
        <w:rPr>
          <w:rFonts w:ascii="Times New Roman" w:eastAsia="Times New Roman" w:hAnsi="Times New Roman" w:cs="Times New Roman"/>
          <w:sz w:val="24"/>
          <w:szCs w:val="24"/>
        </w:rPr>
        <w:t xml:space="preserve"> discordant. Some of these disorders involve chromosomal syndromes (e.g., </w:t>
      </w:r>
      <w:proofErr w:type="spellStart"/>
      <w:r w:rsidRPr="007A612C">
        <w:rPr>
          <w:rFonts w:ascii="Times New Roman" w:eastAsia="Times New Roman" w:hAnsi="Times New Roman" w:cs="Times New Roman"/>
          <w:sz w:val="24"/>
          <w:szCs w:val="24"/>
        </w:rPr>
        <w:t>trisomies</w:t>
      </w:r>
      <w:proofErr w:type="spellEnd"/>
      <w:r w:rsidRPr="007A612C">
        <w:rPr>
          <w:rFonts w:ascii="Times New Roman" w:eastAsia="Times New Roman" w:hAnsi="Times New Roman" w:cs="Times New Roman"/>
          <w:sz w:val="24"/>
          <w:szCs w:val="24"/>
        </w:rPr>
        <w:t>) and disorders known or postulated to be caused by conventional mutations or epigenetic mechanisms.</w:t>
      </w:r>
      <w:hyperlink r:id="rId43" w:anchor="ref2" w:tgtFrame="_blank" w:history="1">
        <w:r w:rsidRPr="007A612C">
          <w:rPr>
            <w:rFonts w:ascii="Times New Roman" w:eastAsia="Times New Roman" w:hAnsi="Times New Roman" w:cs="Times New Roman"/>
            <w:color w:val="0066CC"/>
            <w:sz w:val="24"/>
            <w:szCs w:val="24"/>
            <w:u w:val="single"/>
          </w:rPr>
          <w:t>2</w:t>
        </w:r>
      </w:hyperlink>
      <w:r w:rsidRPr="007A612C">
        <w:rPr>
          <w:rFonts w:ascii="Times New Roman" w:eastAsia="Times New Roman" w:hAnsi="Times New Roman" w:cs="Times New Roman"/>
          <w:sz w:val="24"/>
          <w:szCs w:val="24"/>
        </w:rPr>
        <w:t xml:space="preserve"> There are only two case reports of single-gene-point mutations found only in the affected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leading to phenotypic and genotypic discordance within the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 but the timing of these de novo mutations has not been clearly determined.</w:t>
      </w:r>
      <w:hyperlink r:id="rId44" w:anchor="ref3" w:tgtFrame="_blank" w:history="1">
        <w:r w:rsidRPr="007A612C">
          <w:rPr>
            <w:rFonts w:ascii="Times New Roman" w:eastAsia="Times New Roman" w:hAnsi="Times New Roman" w:cs="Times New Roman"/>
            <w:color w:val="0066CC"/>
            <w:sz w:val="24"/>
            <w:szCs w:val="24"/>
            <w:u w:val="single"/>
          </w:rPr>
          <w:t>3</w:t>
        </w:r>
        <w:proofErr w:type="gramStart"/>
        <w:r w:rsidRPr="007A612C">
          <w:rPr>
            <w:rFonts w:ascii="Times New Roman" w:eastAsia="Times New Roman" w:hAnsi="Times New Roman" w:cs="Times New Roman"/>
            <w:color w:val="0066CC"/>
            <w:sz w:val="24"/>
            <w:szCs w:val="24"/>
            <w:u w:val="single"/>
          </w:rPr>
          <w:t>,4</w:t>
        </w:r>
        <w:proofErr w:type="gramEnd"/>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or severe </w:t>
      </w:r>
      <w:proofErr w:type="spellStart"/>
      <w:r w:rsidRPr="007A612C">
        <w:rPr>
          <w:rFonts w:ascii="Times New Roman" w:eastAsia="Times New Roman" w:hAnsi="Times New Roman" w:cs="Times New Roman"/>
          <w:sz w:val="24"/>
          <w:szCs w:val="24"/>
        </w:rPr>
        <w:t>myoclonic</w:t>
      </w:r>
      <w:proofErr w:type="spellEnd"/>
      <w:r w:rsidRPr="007A612C">
        <w:rPr>
          <w:rFonts w:ascii="Times New Roman" w:eastAsia="Times New Roman" w:hAnsi="Times New Roman" w:cs="Times New Roman"/>
          <w:sz w:val="24"/>
          <w:szCs w:val="24"/>
        </w:rPr>
        <w:t xml:space="preserve"> epilepsy of infancy, is usually a sporadic disease yet is known to be a genetic disorder. The syndrome is characterized by an onset at approximately 6 months, with prolonged convulsions or </w:t>
      </w:r>
      <w:proofErr w:type="spellStart"/>
      <w:r w:rsidRPr="007A612C">
        <w:rPr>
          <w:rFonts w:ascii="Times New Roman" w:eastAsia="Times New Roman" w:hAnsi="Times New Roman" w:cs="Times New Roman"/>
          <w:sz w:val="24"/>
          <w:szCs w:val="24"/>
        </w:rPr>
        <w:t>hemiconvulsions</w:t>
      </w:r>
      <w:proofErr w:type="spellEnd"/>
      <w:r w:rsidRPr="007A612C">
        <w:rPr>
          <w:rFonts w:ascii="Times New Roman" w:eastAsia="Times New Roman" w:hAnsi="Times New Roman" w:cs="Times New Roman"/>
          <w:sz w:val="24"/>
          <w:szCs w:val="24"/>
        </w:rPr>
        <w:t>, often with fever. Other seizure types usually appear, and there is slowing in psychomotor development. The usual long-term outcome includes intellectual disability and intractable epilepsy.</w:t>
      </w:r>
      <w:hyperlink r:id="rId45" w:anchor="ref5" w:tgtFrame="_blank" w:history="1">
        <w:r w:rsidRPr="007A612C">
          <w:rPr>
            <w:rFonts w:ascii="Times New Roman" w:eastAsia="Times New Roman" w:hAnsi="Times New Roman" w:cs="Times New Roman"/>
            <w:color w:val="0066CC"/>
            <w:sz w:val="24"/>
            <w:szCs w:val="24"/>
            <w:u w:val="single"/>
          </w:rPr>
          <w:t>5</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Heterozygous mutations in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are found in 70 to 80% of patients with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w:t>
      </w:r>
      <w:hyperlink r:id="rId46" w:anchor="ref6" w:tgtFrame="_blank" w:history="1">
        <w:r w:rsidRPr="007A612C">
          <w:rPr>
            <w:rFonts w:ascii="Times New Roman" w:eastAsia="Times New Roman" w:hAnsi="Times New Roman" w:cs="Times New Roman"/>
            <w:color w:val="0066CC"/>
            <w:sz w:val="24"/>
            <w:szCs w:val="24"/>
            <w:u w:val="single"/>
          </w:rPr>
          <w:t>6</w:t>
        </w:r>
        <w:proofErr w:type="gramStart"/>
        <w:r w:rsidRPr="007A612C">
          <w:rPr>
            <w:rFonts w:ascii="Times New Roman" w:eastAsia="Times New Roman" w:hAnsi="Times New Roman" w:cs="Times New Roman"/>
            <w:color w:val="0066CC"/>
            <w:sz w:val="24"/>
            <w:szCs w:val="24"/>
            <w:u w:val="single"/>
          </w:rPr>
          <w:t>,7</w:t>
        </w:r>
        <w:proofErr w:type="gramEnd"/>
      </w:hyperlink>
      <w:r w:rsidRPr="007A612C">
        <w:rPr>
          <w:rFonts w:ascii="Times New Roman" w:eastAsia="Times New Roman" w:hAnsi="Times New Roman" w:cs="Times New Roman"/>
          <w:sz w:val="24"/>
          <w:szCs w:val="24"/>
        </w:rPr>
        <w:t xml:space="preserve"> Of these mutations, 95% are de novo, which explains why siblings or parents are usually unaffected.</w:t>
      </w:r>
      <w:hyperlink r:id="rId47" w:anchor="ref8" w:tgtFrame="_blank" w:history="1">
        <w:r w:rsidRPr="007A612C">
          <w:rPr>
            <w:rFonts w:ascii="Times New Roman" w:eastAsia="Times New Roman" w:hAnsi="Times New Roman" w:cs="Times New Roman"/>
            <w:color w:val="0066CC"/>
            <w:sz w:val="24"/>
            <w:szCs w:val="24"/>
            <w:u w:val="single"/>
          </w:rPr>
          <w:t>8</w:t>
        </w:r>
        <w:proofErr w:type="gramStart"/>
        <w:r w:rsidRPr="007A612C">
          <w:rPr>
            <w:rFonts w:ascii="Times New Roman" w:eastAsia="Times New Roman" w:hAnsi="Times New Roman" w:cs="Times New Roman"/>
            <w:color w:val="0066CC"/>
            <w:sz w:val="24"/>
            <w:szCs w:val="24"/>
            <w:u w:val="single"/>
          </w:rPr>
          <w:t>,9</w:t>
        </w:r>
        <w:proofErr w:type="gramEnd"/>
      </w:hyperlink>
      <w:r w:rsidRPr="007A612C">
        <w:rPr>
          <w:rFonts w:ascii="Times New Roman" w:eastAsia="Times New Roman" w:hAnsi="Times New Roman" w:cs="Times New Roman"/>
          <w:sz w:val="24"/>
          <w:szCs w:val="24"/>
        </w:rPr>
        <w:t xml:space="preserve"> The absence of mutations in parental DNA, obtained from peripheral-blood lymphocytes, led to the inference that the usual mechanism involves a spontaneous mutation in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in parental </w:t>
      </w:r>
      <w:proofErr w:type="spellStart"/>
      <w:r w:rsidRPr="007A612C">
        <w:rPr>
          <w:rFonts w:ascii="Times New Roman" w:eastAsia="Times New Roman" w:hAnsi="Times New Roman" w:cs="Times New Roman"/>
          <w:sz w:val="24"/>
          <w:szCs w:val="24"/>
        </w:rPr>
        <w:t>gonadal</w:t>
      </w:r>
      <w:proofErr w:type="spellEnd"/>
      <w:r w:rsidRPr="007A612C">
        <w:rPr>
          <w:rFonts w:ascii="Times New Roman" w:eastAsia="Times New Roman" w:hAnsi="Times New Roman" w:cs="Times New Roman"/>
          <w:sz w:val="24"/>
          <w:szCs w:val="24"/>
        </w:rPr>
        <w:t xml:space="preserve"> tissue (i.e., testicular or ovarian cells). We sought to determine the timing of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 by analyzing </w:t>
      </w:r>
      <w:r w:rsidRPr="007A612C">
        <w:rPr>
          <w:rFonts w:ascii="Times New Roman" w:eastAsia="Times New Roman" w:hAnsi="Times New Roman" w:cs="Times New Roman"/>
          <w:sz w:val="24"/>
          <w:szCs w:val="24"/>
        </w:rPr>
        <w:lastRenderedPageBreak/>
        <w:t xml:space="preserve">different embryologic tissue lineages in a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pair of twins who were discordant for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Methods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Clinical Studies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The Australian epilepsy twin database was established in 1988; data were obtained from twin registries or referral, as described previously.</w:t>
      </w:r>
      <w:hyperlink r:id="rId48" w:anchor="ref10" w:tgtFrame="_blank" w:history="1">
        <w:r w:rsidRPr="007A612C">
          <w:rPr>
            <w:rFonts w:ascii="Times New Roman" w:eastAsia="Times New Roman" w:hAnsi="Times New Roman" w:cs="Times New Roman"/>
            <w:color w:val="0066CC"/>
            <w:sz w:val="24"/>
            <w:szCs w:val="24"/>
            <w:u w:val="single"/>
          </w:rPr>
          <w:t>10</w:t>
        </w:r>
      </w:hyperlink>
      <w:r w:rsidRPr="007A612C">
        <w:rPr>
          <w:rFonts w:ascii="Times New Roman" w:eastAsia="Times New Roman" w:hAnsi="Times New Roman" w:cs="Times New Roman"/>
          <w:sz w:val="24"/>
          <w:szCs w:val="24"/>
        </w:rPr>
        <w:t xml:space="preserve"> The database includes 372 twin pairs in which one or both twins had seizures, with 169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and 203 </w:t>
      </w:r>
      <w:proofErr w:type="spellStart"/>
      <w:r w:rsidRPr="007A612C">
        <w:rPr>
          <w:rFonts w:ascii="Times New Roman" w:eastAsia="Times New Roman" w:hAnsi="Times New Roman" w:cs="Times New Roman"/>
          <w:sz w:val="24"/>
          <w:szCs w:val="24"/>
        </w:rPr>
        <w:t>dizygous</w:t>
      </w:r>
      <w:proofErr w:type="spellEnd"/>
      <w:r w:rsidRPr="007A612C">
        <w:rPr>
          <w:rFonts w:ascii="Times New Roman" w:eastAsia="Times New Roman" w:hAnsi="Times New Roman" w:cs="Times New Roman"/>
          <w:sz w:val="24"/>
          <w:szCs w:val="24"/>
        </w:rPr>
        <w:t xml:space="preserve"> pairs.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was identified in three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two of the twin pairs were concordant and one twin pair was discordant for the syndrome. We have previously reported some of the clinical and molecular characteristics of these twins.</w:t>
      </w:r>
      <w:hyperlink r:id="rId49" w:anchor="ref7" w:tgtFrame="_blank" w:history="1">
        <w:r w:rsidRPr="007A612C">
          <w:rPr>
            <w:rFonts w:ascii="Times New Roman" w:eastAsia="Times New Roman" w:hAnsi="Times New Roman" w:cs="Times New Roman"/>
            <w:color w:val="0066CC"/>
            <w:sz w:val="24"/>
            <w:szCs w:val="24"/>
            <w:u w:val="single"/>
          </w:rPr>
          <w:t>7</w:t>
        </w:r>
        <w:proofErr w:type="gramStart"/>
        <w:r w:rsidRPr="007A612C">
          <w:rPr>
            <w:rFonts w:ascii="Times New Roman" w:eastAsia="Times New Roman" w:hAnsi="Times New Roman" w:cs="Times New Roman"/>
            <w:color w:val="0066CC"/>
            <w:sz w:val="24"/>
            <w:szCs w:val="24"/>
            <w:u w:val="single"/>
          </w:rPr>
          <w:t>,11</w:t>
        </w:r>
        <w:proofErr w:type="gramEnd"/>
      </w:hyperlink>
      <w:r w:rsidRPr="007A612C">
        <w:rPr>
          <w:rFonts w:ascii="Times New Roman" w:eastAsia="Times New Roman" w:hAnsi="Times New Roman" w:cs="Times New Roman"/>
          <w:sz w:val="24"/>
          <w:szCs w:val="24"/>
        </w:rPr>
        <w:t xml:space="preserve"> The Human Research Ethics Committee of Austin Health approved the study, and written informed consent was obtained from patients or, when appropriate, their parents or legal guardians.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proofErr w:type="spellStart"/>
      <w:r w:rsidRPr="007A612C">
        <w:rPr>
          <w:rFonts w:ascii="Times New Roman" w:eastAsia="Times New Roman" w:hAnsi="Times New Roman" w:cs="Times New Roman"/>
          <w:b/>
          <w:bCs/>
          <w:sz w:val="27"/>
          <w:szCs w:val="27"/>
        </w:rPr>
        <w:t>Zygosity</w:t>
      </w:r>
      <w:proofErr w:type="spellEnd"/>
      <w:r w:rsidRPr="007A612C">
        <w:rPr>
          <w:rFonts w:ascii="Times New Roman" w:eastAsia="Times New Roman" w:hAnsi="Times New Roman" w:cs="Times New Roman"/>
          <w:b/>
          <w:bCs/>
          <w:sz w:val="27"/>
          <w:szCs w:val="27"/>
        </w:rPr>
        <w:t xml:space="preserve"> Determination</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Lymphocyte-derived genomic DNA was examined with the use of nine independent polymorphic markers (D13S317, D18S51, D21S11, D3S1358, D5S818, D7S820, D8S1179, FGA, and </w:t>
      </w:r>
      <w:proofErr w:type="spellStart"/>
      <w:r w:rsidRPr="007A612C">
        <w:rPr>
          <w:rFonts w:ascii="Times New Roman" w:eastAsia="Times New Roman" w:hAnsi="Times New Roman" w:cs="Times New Roman"/>
          <w:sz w:val="24"/>
          <w:szCs w:val="24"/>
        </w:rPr>
        <w:t>vWA</w:t>
      </w:r>
      <w:proofErr w:type="spellEnd"/>
      <w:r w:rsidRPr="007A612C">
        <w:rPr>
          <w:rFonts w:ascii="Times New Roman" w:eastAsia="Times New Roman" w:hAnsi="Times New Roman" w:cs="Times New Roman"/>
          <w:sz w:val="24"/>
          <w:szCs w:val="24"/>
        </w:rPr>
        <w:t xml:space="preserve">). In the discordant twin pair, these markers were also examined in genomic DNA from </w:t>
      </w:r>
      <w:proofErr w:type="spellStart"/>
      <w:r w:rsidRPr="007A612C">
        <w:rPr>
          <w:rFonts w:ascii="Times New Roman" w:eastAsia="Times New Roman" w:hAnsi="Times New Roman" w:cs="Times New Roman"/>
          <w:sz w:val="24"/>
          <w:szCs w:val="24"/>
        </w:rPr>
        <w:t>buccal</w:t>
      </w:r>
      <w:proofErr w:type="spellEnd"/>
      <w:r w:rsidRPr="007A612C">
        <w:rPr>
          <w:rFonts w:ascii="Times New Roman" w:eastAsia="Times New Roman" w:hAnsi="Times New Roman" w:cs="Times New Roman"/>
          <w:sz w:val="24"/>
          <w:szCs w:val="24"/>
        </w:rPr>
        <w:t xml:space="preserve"> cells (to search for evidence of </w:t>
      </w:r>
      <w:proofErr w:type="spellStart"/>
      <w:r w:rsidRPr="007A612C">
        <w:rPr>
          <w:rFonts w:ascii="Times New Roman" w:eastAsia="Times New Roman" w:hAnsi="Times New Roman" w:cs="Times New Roman"/>
          <w:sz w:val="24"/>
          <w:szCs w:val="24"/>
        </w:rPr>
        <w:t>chimerism</w:t>
      </w:r>
      <w:proofErr w:type="spellEnd"/>
      <w:r w:rsidRPr="007A612C">
        <w:rPr>
          <w:rFonts w:ascii="Times New Roman" w:eastAsia="Times New Roman" w:hAnsi="Times New Roman" w:cs="Times New Roman"/>
          <w:sz w:val="24"/>
          <w:szCs w:val="24"/>
        </w:rPr>
        <w:t xml:space="preserve">), and 10 additional polymorphic markers (D2S2290, D4S2935, D5S422, D8S1799, D9S260, D10S580, D14S1065, D15S119, D16S3034, and D19S928) were tested in lymphocyte DNA; these additional 10 markers provide a stronger test of </w:t>
      </w:r>
      <w:proofErr w:type="spellStart"/>
      <w:r w:rsidRPr="007A612C">
        <w:rPr>
          <w:rFonts w:ascii="Times New Roman" w:eastAsia="Times New Roman" w:hAnsi="Times New Roman" w:cs="Times New Roman"/>
          <w:sz w:val="24"/>
          <w:szCs w:val="24"/>
        </w:rPr>
        <w:t>monozygosity</w:t>
      </w:r>
      <w:proofErr w:type="spellEnd"/>
      <w:r w:rsidRPr="007A612C">
        <w:rPr>
          <w:rFonts w:ascii="Times New Roman" w:eastAsia="Times New Roman" w:hAnsi="Times New Roman" w:cs="Times New Roman"/>
          <w:sz w:val="24"/>
          <w:szCs w:val="24"/>
        </w:rPr>
        <w:t>.</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 xml:space="preserve">Analysis of </w:t>
      </w:r>
      <w:r w:rsidRPr="007A612C">
        <w:rPr>
          <w:rFonts w:ascii="Times New Roman" w:eastAsia="Times New Roman" w:hAnsi="Times New Roman" w:cs="Times New Roman"/>
          <w:b/>
          <w:bCs/>
          <w:i/>
          <w:iCs/>
          <w:sz w:val="27"/>
          <w:szCs w:val="27"/>
        </w:rPr>
        <w:t>SCN1A</w:t>
      </w:r>
      <w:r w:rsidRPr="007A612C">
        <w:rPr>
          <w:rFonts w:ascii="Times New Roman" w:eastAsia="Times New Roman" w:hAnsi="Times New Roman" w:cs="Times New Roman"/>
          <w:b/>
          <w:bCs/>
          <w:sz w:val="27"/>
          <w:szCs w:val="27"/>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Mutations in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in genomic DNA from lymphocytes were sought in twin </w:t>
      </w:r>
      <w:proofErr w:type="spellStart"/>
      <w:r w:rsidRPr="007A612C">
        <w:rPr>
          <w:rFonts w:ascii="Times New Roman" w:eastAsia="Times New Roman" w:hAnsi="Times New Roman" w:cs="Times New Roman"/>
          <w:sz w:val="24"/>
          <w:szCs w:val="24"/>
        </w:rPr>
        <w:t>probands</w:t>
      </w:r>
      <w:proofErr w:type="spellEnd"/>
      <w:r w:rsidRPr="007A612C">
        <w:rPr>
          <w:rFonts w:ascii="Times New Roman" w:eastAsia="Times New Roman" w:hAnsi="Times New Roman" w:cs="Times New Roman"/>
          <w:sz w:val="24"/>
          <w:szCs w:val="24"/>
        </w:rPr>
        <w:t>, as described previously.</w:t>
      </w:r>
      <w:hyperlink r:id="rId50" w:anchor="ref7" w:tgtFrame="_blank" w:history="1">
        <w:r w:rsidRPr="007A612C">
          <w:rPr>
            <w:rFonts w:ascii="Times New Roman" w:eastAsia="Times New Roman" w:hAnsi="Times New Roman" w:cs="Times New Roman"/>
            <w:color w:val="0066CC"/>
            <w:sz w:val="24"/>
            <w:szCs w:val="24"/>
            <w:u w:val="single"/>
          </w:rPr>
          <w:t>7</w:t>
        </w:r>
      </w:hyperlink>
      <w:r w:rsidRPr="007A612C">
        <w:rPr>
          <w:rFonts w:ascii="Times New Roman" w:eastAsia="Times New Roman" w:hAnsi="Times New Roman" w:cs="Times New Roman"/>
          <w:sz w:val="24"/>
          <w:szCs w:val="24"/>
        </w:rPr>
        <w:t xml:space="preserve"> In the discordant twin pair, DNA was also extracted from cheek cells, hair-follicle cells, fibroblasts derived from skin-biopsy samples, and cell lines derived from olfactory </w:t>
      </w:r>
      <w:proofErr w:type="spellStart"/>
      <w:r w:rsidRPr="007A612C">
        <w:rPr>
          <w:rFonts w:ascii="Times New Roman" w:eastAsia="Times New Roman" w:hAnsi="Times New Roman" w:cs="Times New Roman"/>
          <w:sz w:val="24"/>
          <w:szCs w:val="24"/>
        </w:rPr>
        <w:t>neuroepithelium</w:t>
      </w:r>
      <w:proofErr w:type="spellEnd"/>
      <w:r w:rsidRPr="007A612C">
        <w:rPr>
          <w:rFonts w:ascii="Times New Roman" w:eastAsia="Times New Roman" w:hAnsi="Times New Roman" w:cs="Times New Roman"/>
          <w:sz w:val="24"/>
          <w:szCs w:val="24"/>
        </w:rPr>
        <w:t xml:space="preserve">. Upper olfactory mucosa was extracted from a nasal-biopsy specimen obtained by an otolaryngologist after the administration of local anesthesia. This tissue was dissociated and grown in serum-free medium with epidermal growth factor and basic fibroblast growth factor to produce </w:t>
      </w:r>
      <w:proofErr w:type="spellStart"/>
      <w:r w:rsidRPr="007A612C">
        <w:rPr>
          <w:rFonts w:ascii="Times New Roman" w:eastAsia="Times New Roman" w:hAnsi="Times New Roman" w:cs="Times New Roman"/>
          <w:sz w:val="24"/>
          <w:szCs w:val="24"/>
        </w:rPr>
        <w:t>neurospheres</w:t>
      </w:r>
      <w:proofErr w:type="spellEnd"/>
      <w:r w:rsidRPr="007A612C">
        <w:rPr>
          <w:rFonts w:ascii="Times New Roman" w:eastAsia="Times New Roman" w:hAnsi="Times New Roman" w:cs="Times New Roman"/>
          <w:sz w:val="24"/>
          <w:szCs w:val="24"/>
        </w:rPr>
        <w:t xml:space="preserve"> (phase-bright spheroids containing neural stem cells and neural progenitors), as described previously.</w:t>
      </w:r>
      <w:hyperlink r:id="rId51" w:anchor="ref12" w:tgtFrame="_blank" w:history="1">
        <w:r w:rsidRPr="007A612C">
          <w:rPr>
            <w:rFonts w:ascii="Times New Roman" w:eastAsia="Times New Roman" w:hAnsi="Times New Roman" w:cs="Times New Roman"/>
            <w:color w:val="0066CC"/>
            <w:sz w:val="24"/>
            <w:szCs w:val="24"/>
            <w:u w:val="single"/>
          </w:rPr>
          <w:t>12</w:t>
        </w:r>
      </w:hyperlink>
      <w:r w:rsidRPr="007A612C">
        <w:rPr>
          <w:rFonts w:ascii="Times New Roman" w:eastAsia="Times New Roman" w:hAnsi="Times New Roman" w:cs="Times New Roman"/>
          <w:sz w:val="24"/>
          <w:szCs w:val="24"/>
        </w:rPr>
        <w:t xml:space="preserve"> </w:t>
      </w:r>
      <w:proofErr w:type="spellStart"/>
      <w:r w:rsidRPr="007A612C">
        <w:rPr>
          <w:rFonts w:ascii="Times New Roman" w:eastAsia="Times New Roman" w:hAnsi="Times New Roman" w:cs="Times New Roman"/>
          <w:sz w:val="24"/>
          <w:szCs w:val="24"/>
        </w:rPr>
        <w:t>Neurospheres</w:t>
      </w:r>
      <w:proofErr w:type="spellEnd"/>
      <w:r w:rsidRPr="007A612C">
        <w:rPr>
          <w:rFonts w:ascii="Times New Roman" w:eastAsia="Times New Roman" w:hAnsi="Times New Roman" w:cs="Times New Roman"/>
          <w:sz w:val="24"/>
          <w:szCs w:val="24"/>
        </w:rPr>
        <w:t xml:space="preserve"> were dissociated, and these </w:t>
      </w:r>
      <w:proofErr w:type="spellStart"/>
      <w:r w:rsidRPr="007A612C">
        <w:rPr>
          <w:rFonts w:ascii="Times New Roman" w:eastAsia="Times New Roman" w:hAnsi="Times New Roman" w:cs="Times New Roman"/>
          <w:sz w:val="24"/>
          <w:szCs w:val="24"/>
        </w:rPr>
        <w:t>neurosphere</w:t>
      </w:r>
      <w:proofErr w:type="spellEnd"/>
      <w:r w:rsidRPr="007A612C">
        <w:rPr>
          <w:rFonts w:ascii="Times New Roman" w:eastAsia="Times New Roman" w:hAnsi="Times New Roman" w:cs="Times New Roman"/>
          <w:sz w:val="24"/>
          <w:szCs w:val="24"/>
        </w:rPr>
        <w:t>-derived cells were grown as cell lines in 10% serum.</w:t>
      </w:r>
      <w:hyperlink r:id="rId52" w:anchor="ref12" w:tgtFrame="_blank" w:history="1">
        <w:r w:rsidRPr="007A612C">
          <w:rPr>
            <w:rFonts w:ascii="Times New Roman" w:eastAsia="Times New Roman" w:hAnsi="Times New Roman" w:cs="Times New Roman"/>
            <w:color w:val="0066CC"/>
            <w:sz w:val="24"/>
            <w:szCs w:val="24"/>
            <w:u w:val="single"/>
          </w:rPr>
          <w:t>12</w:t>
        </w:r>
      </w:hyperlink>
      <w:r w:rsidRPr="007A612C">
        <w:rPr>
          <w:rFonts w:ascii="Times New Roman" w:eastAsia="Times New Roman" w:hAnsi="Times New Roman" w:cs="Times New Roman"/>
          <w:sz w:val="24"/>
          <w:szCs w:val="24"/>
        </w:rPr>
        <w:t xml:space="preserve"> Genomic DNA was extracted from these </w:t>
      </w:r>
      <w:proofErr w:type="spellStart"/>
      <w:r w:rsidRPr="007A612C">
        <w:rPr>
          <w:rFonts w:ascii="Times New Roman" w:eastAsia="Times New Roman" w:hAnsi="Times New Roman" w:cs="Times New Roman"/>
          <w:sz w:val="24"/>
          <w:szCs w:val="24"/>
        </w:rPr>
        <w:t>neurosphere</w:t>
      </w:r>
      <w:proofErr w:type="spellEnd"/>
      <w:r w:rsidRPr="007A612C">
        <w:rPr>
          <w:rFonts w:ascii="Times New Roman" w:eastAsia="Times New Roman" w:hAnsi="Times New Roman" w:cs="Times New Roman"/>
          <w:sz w:val="24"/>
          <w:szCs w:val="24"/>
        </w:rPr>
        <w:t>-derived cell lines.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Genetic Analyses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To search for the presence of cell populations carrying an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 in apparently unaffected subjects, primer </w:t>
      </w:r>
      <w:proofErr w:type="gramStart"/>
      <w:r w:rsidRPr="007A612C">
        <w:rPr>
          <w:rFonts w:ascii="Times New Roman" w:eastAsia="Times New Roman" w:hAnsi="Times New Roman" w:cs="Times New Roman"/>
          <w:sz w:val="24"/>
          <w:szCs w:val="24"/>
        </w:rPr>
        <w:t>pairs</w:t>
      </w:r>
      <w:proofErr w:type="gramEnd"/>
      <w:r w:rsidRPr="007A612C">
        <w:rPr>
          <w:rFonts w:ascii="Times New Roman" w:eastAsia="Times New Roman" w:hAnsi="Times New Roman" w:cs="Times New Roman"/>
          <w:sz w:val="24"/>
          <w:szCs w:val="24"/>
        </w:rPr>
        <w:t xml:space="preserve"> specific for mutant and wild-type DNA sequences were designed for each twin-pair mutation so that one primer contained the </w:t>
      </w:r>
      <w:r w:rsidRPr="007A612C">
        <w:rPr>
          <w:rFonts w:ascii="Times New Roman" w:eastAsia="Times New Roman" w:hAnsi="Times New Roman" w:cs="Times New Roman"/>
          <w:sz w:val="24"/>
          <w:szCs w:val="24"/>
        </w:rPr>
        <w:lastRenderedPageBreak/>
        <w:t xml:space="preserve">mutant base change at the 3′ end. Conditions for polymerase-chain-reaction (PCR) assay were optimized to allow selective amplification of mutant or wild-type sequence (for details, see the </w:t>
      </w:r>
      <w:hyperlink r:id="rId53" w:tgtFrame="_blank" w:history="1">
        <w:r w:rsidRPr="007A612C">
          <w:rPr>
            <w:rFonts w:ascii="Times New Roman" w:eastAsia="Times New Roman" w:hAnsi="Times New Roman" w:cs="Times New Roman"/>
            <w:color w:val="0066CC"/>
            <w:sz w:val="24"/>
            <w:szCs w:val="24"/>
            <w:u w:val="single"/>
          </w:rPr>
          <w:t>Supplementary Appendix</w:t>
        </w:r>
      </w:hyperlink>
      <w:r w:rsidRPr="007A612C">
        <w:rPr>
          <w:rFonts w:ascii="Times New Roman" w:eastAsia="Times New Roman" w:hAnsi="Times New Roman" w:cs="Times New Roman"/>
          <w:sz w:val="24"/>
          <w:szCs w:val="24"/>
        </w:rPr>
        <w:t>, available with the full text of this article at NEJM.org).</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To test for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we performed allele-specific PCR and </w:t>
      </w:r>
      <w:proofErr w:type="spellStart"/>
      <w:r w:rsidRPr="007A612C">
        <w:rPr>
          <w:rFonts w:ascii="Times New Roman" w:eastAsia="Times New Roman" w:hAnsi="Times New Roman" w:cs="Times New Roman"/>
          <w:sz w:val="24"/>
          <w:szCs w:val="24"/>
        </w:rPr>
        <w:t>semiquantitative</w:t>
      </w:r>
      <w:proofErr w:type="spellEnd"/>
      <w:r w:rsidRPr="007A612C">
        <w:rPr>
          <w:rFonts w:ascii="Times New Roman" w:eastAsia="Times New Roman" w:hAnsi="Times New Roman" w:cs="Times New Roman"/>
          <w:sz w:val="24"/>
          <w:szCs w:val="24"/>
        </w:rPr>
        <w:t xml:space="preserve"> analysis. To determine the limit of sensitivity of the allele-specific PCR, we diluted mutant DNA from the patients in wild-type DNA and used the mutant primer for amplification of the mutant sequence while ensuring that no product was amplified in wild-type DNA from control subjects.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Results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 xml:space="preserve">Concordant </w:t>
      </w:r>
      <w:proofErr w:type="spellStart"/>
      <w:r w:rsidRPr="007A612C">
        <w:rPr>
          <w:rFonts w:ascii="Times New Roman" w:eastAsia="Times New Roman" w:hAnsi="Times New Roman" w:cs="Times New Roman"/>
          <w:b/>
          <w:bCs/>
          <w:sz w:val="27"/>
          <w:szCs w:val="27"/>
        </w:rPr>
        <w:t>Monozygous</w:t>
      </w:r>
      <w:proofErr w:type="spellEnd"/>
      <w:r w:rsidRPr="007A612C">
        <w:rPr>
          <w:rFonts w:ascii="Times New Roman" w:eastAsia="Times New Roman" w:hAnsi="Times New Roman" w:cs="Times New Roman"/>
          <w:b/>
          <w:bCs/>
          <w:sz w:val="27"/>
          <w:szCs w:val="27"/>
        </w:rPr>
        <w:t xml:space="preserve"> Twin Pairs 1 and 2</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Clinical characteristics of twin pairs 1 and 2 are shown in </w:t>
      </w:r>
      <w:hyperlink r:id="rId54" w:tgtFrame="_blank" w:history="1">
        <w:r w:rsidRPr="007A612C">
          <w:rPr>
            <w:rFonts w:ascii="Times New Roman" w:eastAsia="Times New Roman" w:hAnsi="Times New Roman" w:cs="Times New Roman"/>
            <w:color w:val="0066CC"/>
            <w:sz w:val="24"/>
            <w:szCs w:val="24"/>
            <w:u w:val="single"/>
          </w:rPr>
          <w:t>Table 1</w:t>
        </w:r>
      </w:hyperlink>
      <w:r w:rsidRPr="007A612C">
        <w:rPr>
          <w:rFonts w:ascii="Times New Roman" w:eastAsia="Times New Roman" w:hAnsi="Times New Roman" w:cs="Times New Roman"/>
          <w:sz w:val="24"/>
          <w:szCs w:val="24"/>
        </w:rPr>
        <w:t>Table 1</w:t>
      </w:r>
      <w:r>
        <w:rPr>
          <w:rFonts w:ascii="Times New Roman" w:eastAsia="Times New Roman" w:hAnsi="Times New Roman" w:cs="Times New Roman"/>
          <w:noProof/>
          <w:color w:val="0066CC"/>
          <w:sz w:val="24"/>
          <w:szCs w:val="24"/>
        </w:rPr>
        <w:drawing>
          <wp:inline distT="0" distB="0" distL="0" distR="0">
            <wp:extent cx="1052195" cy="319405"/>
            <wp:effectExtent l="19050" t="0" r="0" b="0"/>
            <wp:docPr id="9" name="Picture 9" descr="http://www.nejm.org/na102/home/ACS/publisher/mms/journals/content/nejm/2010/nejm_2010.363.issue-14/nejmoa0910752/production/images/small/nejmoa0910752_t1.gif">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jm.org/na102/home/ACS/publisher/mms/journals/content/nejm/2010/nejm_2010.363.issue-14/nejmoa0910752/production/images/small/nejmoa0910752_t1.gif">
                      <a:hlinkClick r:id="rId54" tgtFrame="_blank"/>
                    </pic:cNvPr>
                    <pic:cNvPicPr>
                      <a:picLocks noChangeAspect="1" noChangeArrowheads="1"/>
                    </pic:cNvPicPr>
                  </pic:nvPicPr>
                  <pic:blipFill>
                    <a:blip r:embed="rId24" cstate="print"/>
                    <a:srcRect/>
                    <a:stretch>
                      <a:fillRect/>
                    </a:stretch>
                  </pic:blipFill>
                  <pic:spPr bwMode="auto">
                    <a:xfrm>
                      <a:off x="0" y="0"/>
                      <a:ext cx="1052195" cy="319405"/>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sz w:val="24"/>
          <w:szCs w:val="24"/>
        </w:rPr>
        <w:t xml:space="preserve">Clinical Characteristics of Two Concordant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with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and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Sequencing Results for the Twins and Their Parents</w:t>
      </w:r>
      <w:proofErr w:type="gramStart"/>
      <w:r w:rsidRPr="007A612C">
        <w:rPr>
          <w:rFonts w:ascii="Times New Roman" w:eastAsia="Times New Roman" w:hAnsi="Times New Roman" w:cs="Times New Roman"/>
          <w:sz w:val="24"/>
          <w:szCs w:val="24"/>
        </w:rPr>
        <w:t>..</w:t>
      </w:r>
      <w:proofErr w:type="gramEnd"/>
      <w:r w:rsidRPr="007A612C">
        <w:rPr>
          <w:rFonts w:ascii="Times New Roman" w:eastAsia="Times New Roman" w:hAnsi="Times New Roman" w:cs="Times New Roman"/>
          <w:sz w:val="24"/>
          <w:szCs w:val="24"/>
        </w:rPr>
        <w:t xml:space="preserve"> On the basis of nine polymorphic DNA markers, the probability that these twin pairs could be </w:t>
      </w:r>
      <w:proofErr w:type="spellStart"/>
      <w:r w:rsidRPr="007A612C">
        <w:rPr>
          <w:rFonts w:ascii="Times New Roman" w:eastAsia="Times New Roman" w:hAnsi="Times New Roman" w:cs="Times New Roman"/>
          <w:sz w:val="24"/>
          <w:szCs w:val="24"/>
        </w:rPr>
        <w:t>dizygous</w:t>
      </w:r>
      <w:proofErr w:type="spellEnd"/>
      <w:r w:rsidRPr="007A612C">
        <w:rPr>
          <w:rFonts w:ascii="Times New Roman" w:eastAsia="Times New Roman" w:hAnsi="Times New Roman" w:cs="Times New Roman"/>
          <w:sz w:val="24"/>
          <w:szCs w:val="24"/>
        </w:rPr>
        <w:t xml:space="preserve"> is extremely low (8×10</w:t>
      </w:r>
      <w:r w:rsidRPr="007A612C">
        <w:rPr>
          <w:rFonts w:ascii="Times New Roman" w:eastAsia="Times New Roman" w:hAnsi="Times New Roman" w:cs="Times New Roman"/>
          <w:sz w:val="24"/>
          <w:szCs w:val="24"/>
          <w:vertAlign w:val="superscript"/>
        </w:rPr>
        <w:t>−5</w:t>
      </w:r>
      <w:r w:rsidRPr="007A612C">
        <w:rPr>
          <w:rFonts w:ascii="Times New Roman" w:eastAsia="Times New Roman" w:hAnsi="Times New Roman" w:cs="Times New Roman"/>
          <w:sz w:val="24"/>
          <w:szCs w:val="24"/>
        </w:rPr>
        <w:t>).</w:t>
      </w:r>
      <w:hyperlink r:id="rId55" w:anchor="ref13" w:tgtFrame="_blank" w:history="1">
        <w:r w:rsidRPr="007A612C">
          <w:rPr>
            <w:rFonts w:ascii="Times New Roman" w:eastAsia="Times New Roman" w:hAnsi="Times New Roman" w:cs="Times New Roman"/>
            <w:color w:val="0066CC"/>
            <w:sz w:val="24"/>
            <w:szCs w:val="24"/>
            <w:u w:val="single"/>
          </w:rPr>
          <w:t>13</w:t>
        </w:r>
      </w:hyperlink>
      <w:r w:rsidRPr="007A612C">
        <w:rPr>
          <w:rFonts w:ascii="Times New Roman" w:eastAsia="Times New Roman" w:hAnsi="Times New Roman" w:cs="Times New Roman"/>
          <w:sz w:val="24"/>
          <w:szCs w:val="24"/>
        </w:rPr>
        <w:t xml:space="preserve"> Twin pair 1 had two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gene variants, a protein truncation mutation (c.4573C→T, R1525X) and a </w:t>
      </w:r>
      <w:proofErr w:type="spellStart"/>
      <w:r w:rsidRPr="007A612C">
        <w:rPr>
          <w:rFonts w:ascii="Times New Roman" w:eastAsia="Times New Roman" w:hAnsi="Times New Roman" w:cs="Times New Roman"/>
          <w:sz w:val="24"/>
          <w:szCs w:val="24"/>
        </w:rPr>
        <w:t>missense</w:t>
      </w:r>
      <w:proofErr w:type="spellEnd"/>
      <w:r w:rsidRPr="007A612C">
        <w:rPr>
          <w:rFonts w:ascii="Times New Roman" w:eastAsia="Times New Roman" w:hAnsi="Times New Roman" w:cs="Times New Roman"/>
          <w:sz w:val="24"/>
          <w:szCs w:val="24"/>
        </w:rPr>
        <w:t xml:space="preserve"> rare variant (c.1811G→A, R604H); the functional significance of the latter is uncertain. Only their mother was available for testing, and sequencing showed that she carried neither the mutation nor the rare variant. Twin pair 2 had a de novo </w:t>
      </w:r>
      <w:proofErr w:type="spellStart"/>
      <w:r w:rsidRPr="007A612C">
        <w:rPr>
          <w:rFonts w:ascii="Times New Roman" w:eastAsia="Times New Roman" w:hAnsi="Times New Roman" w:cs="Times New Roman"/>
          <w:sz w:val="24"/>
          <w:szCs w:val="24"/>
        </w:rPr>
        <w:t>frameshift</w:t>
      </w:r>
      <w:proofErr w:type="spellEnd"/>
      <w:r w:rsidRPr="007A612C">
        <w:rPr>
          <w:rFonts w:ascii="Times New Roman" w:eastAsia="Times New Roman" w:hAnsi="Times New Roman" w:cs="Times New Roman"/>
          <w:sz w:val="24"/>
          <w:szCs w:val="24"/>
        </w:rPr>
        <w:t xml:space="preserve"> mutation (c.4949_4950insT, I1650fsX1672) that was predicted to cause protein truncation; both parents tested negative for the mutation.</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 xml:space="preserve">Discordant </w:t>
      </w:r>
      <w:proofErr w:type="spellStart"/>
      <w:r w:rsidRPr="007A612C">
        <w:rPr>
          <w:rFonts w:ascii="Times New Roman" w:eastAsia="Times New Roman" w:hAnsi="Times New Roman" w:cs="Times New Roman"/>
          <w:b/>
          <w:bCs/>
          <w:sz w:val="27"/>
          <w:szCs w:val="27"/>
        </w:rPr>
        <w:t>Monozygous</w:t>
      </w:r>
      <w:proofErr w:type="spellEnd"/>
      <w:r w:rsidRPr="007A612C">
        <w:rPr>
          <w:rFonts w:ascii="Times New Roman" w:eastAsia="Times New Roman" w:hAnsi="Times New Roman" w:cs="Times New Roman"/>
          <w:b/>
          <w:bCs/>
          <w:sz w:val="27"/>
          <w:szCs w:val="27"/>
        </w:rPr>
        <w:t xml:space="preserve"> Twin Pair 3</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twins in pair 3 were 25 years of age. They were born after an uncomplicated, spontaneous twin pregnancy, and the births were unremarkable. 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was delivered second and weighed 2880 g at birth, and her twin weighed 2520 g. They were third (unaffected twin) and fourth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in a kindred of five siblings. One older sister had a history of two febrile seizures before the age of 4 years. Both parents were unaffected. There was no other family history of seizures.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Clinically, the twin pair was considered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although the affected twin was slightly heavier and had coarser facial features, findings that are consistent with long-term use of antiepileptic medication. </w:t>
      </w:r>
      <w:proofErr w:type="spellStart"/>
      <w:r w:rsidRPr="007A612C">
        <w:rPr>
          <w:rFonts w:ascii="Times New Roman" w:eastAsia="Times New Roman" w:hAnsi="Times New Roman" w:cs="Times New Roman"/>
          <w:sz w:val="24"/>
          <w:szCs w:val="24"/>
        </w:rPr>
        <w:t>Zygosity</w:t>
      </w:r>
      <w:proofErr w:type="spellEnd"/>
      <w:r w:rsidRPr="007A612C">
        <w:rPr>
          <w:rFonts w:ascii="Times New Roman" w:eastAsia="Times New Roman" w:hAnsi="Times New Roman" w:cs="Times New Roman"/>
          <w:sz w:val="24"/>
          <w:szCs w:val="24"/>
        </w:rPr>
        <w:t xml:space="preserve"> testing for 9 polymorphic DNA markers in lymphocyte and </w:t>
      </w:r>
      <w:proofErr w:type="spellStart"/>
      <w:r w:rsidRPr="007A612C">
        <w:rPr>
          <w:rFonts w:ascii="Times New Roman" w:eastAsia="Times New Roman" w:hAnsi="Times New Roman" w:cs="Times New Roman"/>
          <w:sz w:val="24"/>
          <w:szCs w:val="24"/>
        </w:rPr>
        <w:t>buccal</w:t>
      </w:r>
      <w:proofErr w:type="spellEnd"/>
      <w:r w:rsidRPr="007A612C">
        <w:rPr>
          <w:rFonts w:ascii="Times New Roman" w:eastAsia="Times New Roman" w:hAnsi="Times New Roman" w:cs="Times New Roman"/>
          <w:sz w:val="24"/>
          <w:szCs w:val="24"/>
        </w:rPr>
        <w:t xml:space="preserve"> cells and for an additional 10 markers in lymphocytes confirmed </w:t>
      </w:r>
      <w:proofErr w:type="spellStart"/>
      <w:r w:rsidRPr="007A612C">
        <w:rPr>
          <w:rFonts w:ascii="Times New Roman" w:eastAsia="Times New Roman" w:hAnsi="Times New Roman" w:cs="Times New Roman"/>
          <w:sz w:val="24"/>
          <w:szCs w:val="24"/>
        </w:rPr>
        <w:t>monozygosity</w:t>
      </w:r>
      <w:proofErr w:type="spellEnd"/>
      <w:r w:rsidRPr="007A612C">
        <w:rPr>
          <w:rFonts w:ascii="Times New Roman" w:eastAsia="Times New Roman" w:hAnsi="Times New Roman" w:cs="Times New Roman"/>
          <w:sz w:val="24"/>
          <w:szCs w:val="24"/>
        </w:rPr>
        <w:t xml:space="preserve">. On the basis of tests for these 19 markers, the probability that these twins were </w:t>
      </w:r>
      <w:proofErr w:type="spellStart"/>
      <w:r w:rsidRPr="007A612C">
        <w:rPr>
          <w:rFonts w:ascii="Times New Roman" w:eastAsia="Times New Roman" w:hAnsi="Times New Roman" w:cs="Times New Roman"/>
          <w:sz w:val="24"/>
          <w:szCs w:val="24"/>
        </w:rPr>
        <w:t>dizygous</w:t>
      </w:r>
      <w:proofErr w:type="spellEnd"/>
      <w:r w:rsidRPr="007A612C">
        <w:rPr>
          <w:rFonts w:ascii="Times New Roman" w:eastAsia="Times New Roman" w:hAnsi="Times New Roman" w:cs="Times New Roman"/>
          <w:sz w:val="24"/>
          <w:szCs w:val="24"/>
        </w:rPr>
        <w:t xml:space="preserve"> was negligible (2×10</w:t>
      </w:r>
      <w:r w:rsidRPr="007A612C">
        <w:rPr>
          <w:rFonts w:ascii="Times New Roman" w:eastAsia="Times New Roman" w:hAnsi="Times New Roman" w:cs="Times New Roman"/>
          <w:sz w:val="24"/>
          <w:szCs w:val="24"/>
          <w:vertAlign w:val="superscript"/>
        </w:rPr>
        <w:t>−8</w:t>
      </w:r>
      <w:r w:rsidRPr="007A612C">
        <w:rPr>
          <w:rFonts w:ascii="Times New Roman" w:eastAsia="Times New Roman" w:hAnsi="Times New Roman" w:cs="Times New Roman"/>
          <w:sz w:val="24"/>
          <w:szCs w:val="24"/>
        </w:rPr>
        <w:t>).</w:t>
      </w:r>
      <w:hyperlink r:id="rId56" w:anchor="ref13" w:tgtFrame="_blank" w:history="1">
        <w:r w:rsidRPr="007A612C">
          <w:rPr>
            <w:rFonts w:ascii="Times New Roman" w:eastAsia="Times New Roman" w:hAnsi="Times New Roman" w:cs="Times New Roman"/>
            <w:color w:val="0066CC"/>
            <w:sz w:val="24"/>
            <w:szCs w:val="24"/>
            <w:u w:val="single"/>
          </w:rPr>
          <w:t>13</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initially presented with prolonged, generalized febrile seizures at the age of 6 months. Multiple seizure types ensued. These included </w:t>
      </w:r>
      <w:proofErr w:type="spellStart"/>
      <w:r w:rsidRPr="007A612C">
        <w:rPr>
          <w:rFonts w:ascii="Times New Roman" w:eastAsia="Times New Roman" w:hAnsi="Times New Roman" w:cs="Times New Roman"/>
          <w:sz w:val="24"/>
          <w:szCs w:val="24"/>
        </w:rPr>
        <w:t>myoclonic</w:t>
      </w:r>
      <w:proofErr w:type="spellEnd"/>
      <w:r w:rsidRPr="007A612C">
        <w:rPr>
          <w:rFonts w:ascii="Times New Roman" w:eastAsia="Times New Roman" w:hAnsi="Times New Roman" w:cs="Times New Roman"/>
          <w:sz w:val="24"/>
          <w:szCs w:val="24"/>
        </w:rPr>
        <w:t xml:space="preserve"> seizures, tonic-</w:t>
      </w:r>
      <w:proofErr w:type="spellStart"/>
      <w:r w:rsidRPr="007A612C">
        <w:rPr>
          <w:rFonts w:ascii="Times New Roman" w:eastAsia="Times New Roman" w:hAnsi="Times New Roman" w:cs="Times New Roman"/>
          <w:sz w:val="24"/>
          <w:szCs w:val="24"/>
        </w:rPr>
        <w:t>clonic</w:t>
      </w:r>
      <w:proofErr w:type="spellEnd"/>
      <w:r w:rsidRPr="007A612C">
        <w:rPr>
          <w:rFonts w:ascii="Times New Roman" w:eastAsia="Times New Roman" w:hAnsi="Times New Roman" w:cs="Times New Roman"/>
          <w:sz w:val="24"/>
          <w:szCs w:val="24"/>
        </w:rPr>
        <w:t xml:space="preserve"> seizures, and partial seizures. Over the years, she had had recurrent hospital admissions for prolonged seizures (status </w:t>
      </w:r>
      <w:proofErr w:type="spellStart"/>
      <w:r w:rsidRPr="007A612C">
        <w:rPr>
          <w:rFonts w:ascii="Times New Roman" w:eastAsia="Times New Roman" w:hAnsi="Times New Roman" w:cs="Times New Roman"/>
          <w:sz w:val="24"/>
          <w:szCs w:val="24"/>
        </w:rPr>
        <w:t>epilepticus</w:t>
      </w:r>
      <w:proofErr w:type="spellEnd"/>
      <w:r w:rsidRPr="007A612C">
        <w:rPr>
          <w:rFonts w:ascii="Times New Roman" w:eastAsia="Times New Roman" w:hAnsi="Times New Roman" w:cs="Times New Roman"/>
          <w:sz w:val="24"/>
          <w:szCs w:val="24"/>
        </w:rPr>
        <w:t>) and had received multiple medications for intractable seizures.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lastRenderedPageBreak/>
        <w:t xml:space="preserve">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had normal early milestones. After 15 months, developmental regression was noted, with delays in speech and walking. She attended a regular school and completed a modified 12th year with integration aids. At the time of evaluation, she was working in a restaurant. Neuropsychological testing showed a low average full-scale IQ of 89 on the Wechsler Adult Intelligence Scale-Revised. She was married and had an unaffected daughter. Magnetic resonance imaging (MRI) of the brain showed left </w:t>
      </w:r>
      <w:proofErr w:type="spellStart"/>
      <w:r w:rsidRPr="007A612C">
        <w:rPr>
          <w:rFonts w:ascii="Times New Roman" w:eastAsia="Times New Roman" w:hAnsi="Times New Roman" w:cs="Times New Roman"/>
          <w:sz w:val="24"/>
          <w:szCs w:val="24"/>
        </w:rPr>
        <w:t>hippocampal</w:t>
      </w:r>
      <w:proofErr w:type="spellEnd"/>
      <w:r w:rsidRPr="007A612C">
        <w:rPr>
          <w:rFonts w:ascii="Times New Roman" w:eastAsia="Times New Roman" w:hAnsi="Times New Roman" w:cs="Times New Roman"/>
          <w:sz w:val="24"/>
          <w:szCs w:val="24"/>
        </w:rPr>
        <w:t xml:space="preserve"> sclerosis with small </w:t>
      </w:r>
      <w:proofErr w:type="spellStart"/>
      <w:r w:rsidRPr="007A612C">
        <w:rPr>
          <w:rFonts w:ascii="Times New Roman" w:eastAsia="Times New Roman" w:hAnsi="Times New Roman" w:cs="Times New Roman"/>
          <w:sz w:val="24"/>
          <w:szCs w:val="24"/>
        </w:rPr>
        <w:t>hippocampal</w:t>
      </w:r>
      <w:proofErr w:type="spellEnd"/>
      <w:r w:rsidRPr="007A612C">
        <w:rPr>
          <w:rFonts w:ascii="Times New Roman" w:eastAsia="Times New Roman" w:hAnsi="Times New Roman" w:cs="Times New Roman"/>
          <w:sz w:val="24"/>
          <w:szCs w:val="24"/>
        </w:rPr>
        <w:t xml:space="preserve"> volume and an increased signal on T</w:t>
      </w:r>
      <w:r w:rsidRPr="007A612C">
        <w:rPr>
          <w:rFonts w:ascii="Times New Roman" w:eastAsia="Times New Roman" w:hAnsi="Times New Roman" w:cs="Times New Roman"/>
          <w:sz w:val="24"/>
          <w:szCs w:val="24"/>
          <w:vertAlign w:val="subscript"/>
        </w:rPr>
        <w:t>2</w:t>
      </w:r>
      <w:r w:rsidRPr="007A612C">
        <w:rPr>
          <w:rFonts w:ascii="Times New Roman" w:eastAsia="Times New Roman" w:hAnsi="Times New Roman" w:cs="Times New Roman"/>
          <w:sz w:val="24"/>
          <w:szCs w:val="24"/>
        </w:rPr>
        <w:t>-weighted scanning.</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Her twin had two simple febrile seizures, at 6 weeks and 4 years. Neuropsychological testing showed average intelligence. At the time of evaluation, she was working as a nurse. The findings on brain MRI were within normal limits.</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had a heterozygous base change c.664C→T in </w:t>
      </w:r>
      <w:proofErr w:type="spellStart"/>
      <w:r w:rsidRPr="007A612C">
        <w:rPr>
          <w:rFonts w:ascii="Times New Roman" w:eastAsia="Times New Roman" w:hAnsi="Times New Roman" w:cs="Times New Roman"/>
          <w:sz w:val="24"/>
          <w:szCs w:val="24"/>
        </w:rPr>
        <w:t>exon</w:t>
      </w:r>
      <w:proofErr w:type="spellEnd"/>
      <w:r w:rsidRPr="007A612C">
        <w:rPr>
          <w:rFonts w:ascii="Times New Roman" w:eastAsia="Times New Roman" w:hAnsi="Times New Roman" w:cs="Times New Roman"/>
          <w:sz w:val="24"/>
          <w:szCs w:val="24"/>
        </w:rPr>
        <w:t xml:space="preserve"> 5 of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resulting in a premature stop-</w:t>
      </w:r>
      <w:proofErr w:type="spellStart"/>
      <w:r w:rsidRPr="007A612C">
        <w:rPr>
          <w:rFonts w:ascii="Times New Roman" w:eastAsia="Times New Roman" w:hAnsi="Times New Roman" w:cs="Times New Roman"/>
          <w:sz w:val="24"/>
          <w:szCs w:val="24"/>
        </w:rPr>
        <w:t>codon</w:t>
      </w:r>
      <w:proofErr w:type="spellEnd"/>
      <w:r w:rsidRPr="007A612C">
        <w:rPr>
          <w:rFonts w:ascii="Times New Roman" w:eastAsia="Times New Roman" w:hAnsi="Times New Roman" w:cs="Times New Roman"/>
          <w:sz w:val="24"/>
          <w:szCs w:val="24"/>
        </w:rPr>
        <w:t xml:space="preserve"> mutation (R222X) that was predicted to lead to a truncated protein. We detected this mutation in DNA extracted from the </w:t>
      </w:r>
      <w:proofErr w:type="spellStart"/>
      <w:r w:rsidRPr="007A612C">
        <w:rPr>
          <w:rFonts w:ascii="Times New Roman" w:eastAsia="Times New Roman" w:hAnsi="Times New Roman" w:cs="Times New Roman"/>
          <w:sz w:val="24"/>
          <w:szCs w:val="24"/>
        </w:rPr>
        <w:t>proband's</w:t>
      </w:r>
      <w:proofErr w:type="spellEnd"/>
      <w:r w:rsidRPr="007A612C">
        <w:rPr>
          <w:rFonts w:ascii="Times New Roman" w:eastAsia="Times New Roman" w:hAnsi="Times New Roman" w:cs="Times New Roman"/>
          <w:sz w:val="24"/>
          <w:szCs w:val="24"/>
        </w:rPr>
        <w:t xml:space="preserve"> lymphocytes, hair, </w:t>
      </w:r>
      <w:proofErr w:type="spellStart"/>
      <w:r w:rsidRPr="007A612C">
        <w:rPr>
          <w:rFonts w:ascii="Times New Roman" w:eastAsia="Times New Roman" w:hAnsi="Times New Roman" w:cs="Times New Roman"/>
          <w:sz w:val="24"/>
          <w:szCs w:val="24"/>
        </w:rPr>
        <w:t>buccal</w:t>
      </w:r>
      <w:proofErr w:type="spellEnd"/>
      <w:r w:rsidRPr="007A612C">
        <w:rPr>
          <w:rFonts w:ascii="Times New Roman" w:eastAsia="Times New Roman" w:hAnsi="Times New Roman" w:cs="Times New Roman"/>
          <w:sz w:val="24"/>
          <w:szCs w:val="24"/>
        </w:rPr>
        <w:t xml:space="preserve"> cells, skin fibroblasts, and cell lines derived from olfactory </w:t>
      </w:r>
      <w:proofErr w:type="spellStart"/>
      <w:r w:rsidRPr="007A612C">
        <w:rPr>
          <w:rFonts w:ascii="Times New Roman" w:eastAsia="Times New Roman" w:hAnsi="Times New Roman" w:cs="Times New Roman"/>
          <w:sz w:val="24"/>
          <w:szCs w:val="24"/>
        </w:rPr>
        <w:t>neuroepithelium</w:t>
      </w:r>
      <w:proofErr w:type="spellEnd"/>
      <w:r w:rsidRPr="007A612C">
        <w:rPr>
          <w:rFonts w:ascii="Times New Roman" w:eastAsia="Times New Roman" w:hAnsi="Times New Roman" w:cs="Times New Roman"/>
          <w:sz w:val="24"/>
          <w:szCs w:val="24"/>
        </w:rPr>
        <w:t xml:space="preserve"> and did not observe it in DNA extracted from tissues obtained from her twin (</w:t>
      </w:r>
      <w:hyperlink r:id="rId57" w:tgtFrame="_blank" w:history="1">
        <w:r w:rsidRPr="007A612C">
          <w:rPr>
            <w:rFonts w:ascii="Times New Roman" w:eastAsia="Times New Roman" w:hAnsi="Times New Roman" w:cs="Times New Roman"/>
            <w:color w:val="0066CC"/>
            <w:sz w:val="24"/>
            <w:szCs w:val="24"/>
            <w:u w:val="single"/>
          </w:rPr>
          <w:t>Figure 1</w:t>
        </w:r>
      </w:hyperlink>
      <w:r w:rsidRPr="007A612C">
        <w:rPr>
          <w:rFonts w:ascii="Times New Roman" w:eastAsia="Times New Roman" w:hAnsi="Times New Roman" w:cs="Times New Roman"/>
          <w:sz w:val="24"/>
          <w:szCs w:val="24"/>
        </w:rPr>
        <w:t>Figure 1</w:t>
      </w:r>
      <w:r>
        <w:rPr>
          <w:rFonts w:ascii="Times New Roman" w:eastAsia="Times New Roman" w:hAnsi="Times New Roman" w:cs="Times New Roman"/>
          <w:noProof/>
          <w:color w:val="0066CC"/>
          <w:sz w:val="24"/>
          <w:szCs w:val="24"/>
        </w:rPr>
        <w:drawing>
          <wp:inline distT="0" distB="0" distL="0" distR="0">
            <wp:extent cx="483235" cy="1052195"/>
            <wp:effectExtent l="19050" t="0" r="0" b="0"/>
            <wp:docPr id="10" name="Picture 10" descr="http://www.nejm.org/na102/home/ACS/publisher/mms/journals/content/nejm/2010/nejm_2010.363.issue-14/nejmoa0910752/production/images/small/nejmoa0910752_f1.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ejm.org/na102/home/ACS/publisher/mms/journals/content/nejm/2010/nejm_2010.363.issue-14/nejmoa0910752/production/images/small/nejmoa0910752_f1.gif">
                      <a:hlinkClick r:id="rId6" tgtFrame="_blank"/>
                    </pic:cNvPr>
                    <pic:cNvPicPr>
                      <a:picLocks noChangeAspect="1" noChangeArrowheads="1"/>
                    </pic:cNvPicPr>
                  </pic:nvPicPr>
                  <pic:blipFill>
                    <a:blip r:embed="rId7" cstate="print"/>
                    <a:srcRect/>
                    <a:stretch>
                      <a:fillRect/>
                    </a:stretch>
                  </pic:blipFill>
                  <pic:spPr bwMode="auto">
                    <a:xfrm>
                      <a:off x="0" y="0"/>
                      <a:ext cx="483235" cy="1052195"/>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sz w:val="24"/>
          <w:szCs w:val="24"/>
        </w:rPr>
        <w:t xml:space="preserve">DNA Sequencing for a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 Discordant for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We did not detect the mutation in DNA purified from lymphocytes from the parents and the older sibling with a history of febrile seizures.</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 xml:space="preserve">DNA Analysis for Somatic </w:t>
      </w:r>
      <w:proofErr w:type="spellStart"/>
      <w:r w:rsidRPr="007A612C">
        <w:rPr>
          <w:rFonts w:ascii="Times New Roman" w:eastAsia="Times New Roman" w:hAnsi="Times New Roman" w:cs="Times New Roman"/>
          <w:b/>
          <w:bCs/>
          <w:sz w:val="27"/>
          <w:szCs w:val="27"/>
        </w:rPr>
        <w:t>Mosaicism</w:t>
      </w:r>
      <w:proofErr w:type="spellEnd"/>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We analyzed each of the three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mutations by means of allele-specific PCR and </w:t>
      </w:r>
      <w:proofErr w:type="spellStart"/>
      <w:r w:rsidRPr="007A612C">
        <w:rPr>
          <w:rFonts w:ascii="Times New Roman" w:eastAsia="Times New Roman" w:hAnsi="Times New Roman" w:cs="Times New Roman"/>
          <w:sz w:val="24"/>
          <w:szCs w:val="24"/>
        </w:rPr>
        <w:t>semiquantitative</w:t>
      </w:r>
      <w:proofErr w:type="spellEnd"/>
      <w:r w:rsidRPr="007A612C">
        <w:rPr>
          <w:rFonts w:ascii="Times New Roman" w:eastAsia="Times New Roman" w:hAnsi="Times New Roman" w:cs="Times New Roman"/>
          <w:sz w:val="24"/>
          <w:szCs w:val="24"/>
        </w:rPr>
        <w:t xml:space="preserve"> analysis. The lowest percentage of mutant DNA in preparations in which mutant sequence was detected was 1.57% in twin pair 1, 3.13% in twin pair 2, and 1.57% in twin pair 3. We found no evidence of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in the mother of twin pair 1 or in either of the parents of twin pairs 2 and 3, although we cannot rule out the possibility that the parents have </w:t>
      </w:r>
      <w:proofErr w:type="spellStart"/>
      <w:r w:rsidRPr="007A612C">
        <w:rPr>
          <w:rFonts w:ascii="Times New Roman" w:eastAsia="Times New Roman" w:hAnsi="Times New Roman" w:cs="Times New Roman"/>
          <w:sz w:val="24"/>
          <w:szCs w:val="24"/>
        </w:rPr>
        <w:t>gonadal</w:t>
      </w:r>
      <w:proofErr w:type="spellEnd"/>
      <w:r w:rsidRPr="007A612C">
        <w:rPr>
          <w:rFonts w:ascii="Times New Roman" w:eastAsia="Times New Roman" w:hAnsi="Times New Roman" w:cs="Times New Roman"/>
          <w:sz w:val="24"/>
          <w:szCs w:val="24"/>
        </w:rPr>
        <w:t xml:space="preserve">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We also tested the unaffected twin in twin pair 3 and found no evidence of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for the R222X mutation.</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Discussion</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We found mutations in all three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which predict a truncated protein product (providing that the mutant RNA is not degraded), strongly suggesting </w:t>
      </w:r>
      <w:proofErr w:type="spellStart"/>
      <w:r w:rsidRPr="007A612C">
        <w:rPr>
          <w:rFonts w:ascii="Times New Roman" w:eastAsia="Times New Roman" w:hAnsi="Times New Roman" w:cs="Times New Roman"/>
          <w:sz w:val="24"/>
          <w:szCs w:val="24"/>
        </w:rPr>
        <w:t>pathogenicity</w:t>
      </w:r>
      <w:proofErr w:type="spellEnd"/>
      <w:r w:rsidRPr="007A612C">
        <w:rPr>
          <w:rFonts w:ascii="Times New Roman" w:eastAsia="Times New Roman" w:hAnsi="Times New Roman" w:cs="Times New Roman"/>
          <w:sz w:val="24"/>
          <w:szCs w:val="24"/>
        </w:rPr>
        <w:t xml:space="preserve">. More than 200 similar truncation mutations of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that have been described in patients with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have not been reported in control subjects.</w:t>
      </w:r>
      <w:hyperlink r:id="rId58" w:anchor="ref14" w:tgtFrame="_blank" w:history="1">
        <w:r w:rsidRPr="007A612C">
          <w:rPr>
            <w:rFonts w:ascii="Times New Roman" w:eastAsia="Times New Roman" w:hAnsi="Times New Roman" w:cs="Times New Roman"/>
            <w:color w:val="0066CC"/>
            <w:sz w:val="24"/>
            <w:szCs w:val="24"/>
            <w:u w:val="single"/>
          </w:rPr>
          <w:t>14</w:t>
        </w:r>
      </w:hyperlink>
      <w:r w:rsidRPr="007A612C">
        <w:rPr>
          <w:rFonts w:ascii="Times New Roman" w:eastAsia="Times New Roman" w:hAnsi="Times New Roman" w:cs="Times New Roman"/>
          <w:sz w:val="24"/>
          <w:szCs w:val="24"/>
        </w:rPr>
        <w:t xml:space="preserve"> Electrophysiological studies have also shown major functional effects of such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mutations.</w:t>
      </w:r>
      <w:hyperlink r:id="rId59" w:anchor="ref15" w:tgtFrame="_blank" w:history="1">
        <w:r w:rsidRPr="007A612C">
          <w:rPr>
            <w:rFonts w:ascii="Times New Roman" w:eastAsia="Times New Roman" w:hAnsi="Times New Roman" w:cs="Times New Roman"/>
            <w:color w:val="0066CC"/>
            <w:sz w:val="24"/>
            <w:szCs w:val="24"/>
            <w:u w:val="single"/>
          </w:rPr>
          <w:t>15</w:t>
        </w:r>
      </w:hyperlink>
      <w:r w:rsidRPr="007A612C">
        <w:rPr>
          <w:rFonts w:ascii="Times New Roman" w:eastAsia="Times New Roman" w:hAnsi="Times New Roman" w:cs="Times New Roman"/>
          <w:sz w:val="24"/>
          <w:szCs w:val="24"/>
        </w:rPr>
        <w:t xml:space="preserve"> Moreover, the presence of the specific mutations R222X, in the discordant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 and R1525X, in one of the concordant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pairs, has been described previously in other patients with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w:t>
      </w:r>
      <w:hyperlink r:id="rId60" w:anchor="ref14" w:tgtFrame="_blank" w:history="1">
        <w:r w:rsidRPr="007A612C">
          <w:rPr>
            <w:rFonts w:ascii="Times New Roman" w:eastAsia="Times New Roman" w:hAnsi="Times New Roman" w:cs="Times New Roman"/>
            <w:color w:val="0066CC"/>
            <w:sz w:val="24"/>
            <w:szCs w:val="24"/>
            <w:u w:val="single"/>
          </w:rPr>
          <w:t>14</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spellStart"/>
      <w:r w:rsidRPr="007A612C">
        <w:rPr>
          <w:rFonts w:ascii="Times New Roman" w:eastAsia="Times New Roman" w:hAnsi="Times New Roman" w:cs="Times New Roman"/>
          <w:sz w:val="24"/>
          <w:szCs w:val="24"/>
        </w:rPr>
        <w:lastRenderedPageBreak/>
        <w:t>Dravet's</w:t>
      </w:r>
      <w:proofErr w:type="spellEnd"/>
      <w:r w:rsidRPr="007A612C">
        <w:rPr>
          <w:rFonts w:ascii="Times New Roman" w:eastAsia="Times New Roman" w:hAnsi="Times New Roman" w:cs="Times New Roman"/>
          <w:sz w:val="24"/>
          <w:szCs w:val="24"/>
        </w:rPr>
        <w:t xml:space="preserve"> syndrome usually occurs sporadically, with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mutations in the affected patient but not in the parents or healthy siblings. In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twins with this syndrome, both are typically affected (e.g., twin pairs 1 and 2 and those described previously</w:t>
      </w:r>
      <w:hyperlink r:id="rId61" w:anchor="ref16" w:tgtFrame="_blank" w:history="1">
        <w:r w:rsidRPr="007A612C">
          <w:rPr>
            <w:rFonts w:ascii="Times New Roman" w:eastAsia="Times New Roman" w:hAnsi="Times New Roman" w:cs="Times New Roman"/>
            <w:color w:val="0066CC"/>
            <w:sz w:val="24"/>
            <w:szCs w:val="24"/>
            <w:u w:val="single"/>
          </w:rPr>
          <w:t>16</w:t>
        </w:r>
        <w:proofErr w:type="gramStart"/>
        <w:r w:rsidRPr="007A612C">
          <w:rPr>
            <w:rFonts w:ascii="Times New Roman" w:eastAsia="Times New Roman" w:hAnsi="Times New Roman" w:cs="Times New Roman"/>
            <w:color w:val="0066CC"/>
            <w:sz w:val="24"/>
            <w:szCs w:val="24"/>
            <w:u w:val="single"/>
          </w:rPr>
          <w:t>,17</w:t>
        </w:r>
        <w:proofErr w:type="gramEnd"/>
      </w:hyperlink>
      <w:r w:rsidRPr="007A612C">
        <w:rPr>
          <w:rFonts w:ascii="Times New Roman" w:eastAsia="Times New Roman" w:hAnsi="Times New Roman" w:cs="Times New Roman"/>
          <w:sz w:val="24"/>
          <w:szCs w:val="24"/>
        </w:rPr>
        <w:t xml:space="preserve">). In such cases, the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mutation is most likely to develop in the parental germ line</w:t>
      </w:r>
      <w:proofErr w:type="gramStart"/>
      <w:r w:rsidRPr="007A612C">
        <w:rPr>
          <w:rFonts w:ascii="Times New Roman" w:eastAsia="Times New Roman" w:hAnsi="Times New Roman" w:cs="Times New Roman"/>
          <w:sz w:val="24"/>
          <w:szCs w:val="24"/>
        </w:rPr>
        <w:t>,</w:t>
      </w:r>
      <w:proofErr w:type="gramEnd"/>
      <w:r w:rsidRPr="007A612C">
        <w:rPr>
          <w:rFonts w:ascii="Times New Roman" w:eastAsia="Times New Roman" w:hAnsi="Times New Roman" w:cs="Times New Roman"/>
          <w:sz w:val="24"/>
          <w:szCs w:val="24"/>
        </w:rPr>
        <w:fldChar w:fldCharType="begin"/>
      </w:r>
      <w:r w:rsidRPr="007A612C">
        <w:rPr>
          <w:rFonts w:ascii="Times New Roman" w:eastAsia="Times New Roman" w:hAnsi="Times New Roman" w:cs="Times New Roman"/>
          <w:sz w:val="24"/>
          <w:szCs w:val="24"/>
        </w:rPr>
        <w:instrText xml:space="preserve"> HYPERLINK "http://www.nejm.org/doi/full/10.1056/NEJMoa0910752" \l "ref18" \t "_blank" </w:instrText>
      </w:r>
      <w:r w:rsidRPr="007A612C">
        <w:rPr>
          <w:rFonts w:ascii="Times New Roman" w:eastAsia="Times New Roman" w:hAnsi="Times New Roman" w:cs="Times New Roman"/>
          <w:sz w:val="24"/>
          <w:szCs w:val="24"/>
        </w:rPr>
        <w:fldChar w:fldCharType="separate"/>
      </w:r>
      <w:r w:rsidRPr="007A612C">
        <w:rPr>
          <w:rFonts w:ascii="Times New Roman" w:eastAsia="Times New Roman" w:hAnsi="Times New Roman" w:cs="Times New Roman"/>
          <w:color w:val="0066CC"/>
          <w:sz w:val="24"/>
          <w:szCs w:val="24"/>
          <w:u w:val="single"/>
        </w:rPr>
        <w:t>18</w:t>
      </w:r>
      <w:r w:rsidRPr="007A612C">
        <w:rPr>
          <w:rFonts w:ascii="Times New Roman" w:eastAsia="Times New Roman" w:hAnsi="Times New Roman" w:cs="Times New Roman"/>
          <w:sz w:val="24"/>
          <w:szCs w:val="24"/>
        </w:rPr>
        <w:fldChar w:fldCharType="end"/>
      </w:r>
      <w:r w:rsidRPr="007A612C">
        <w:rPr>
          <w:rFonts w:ascii="Times New Roman" w:eastAsia="Times New Roman" w:hAnsi="Times New Roman" w:cs="Times New Roman"/>
          <w:sz w:val="24"/>
          <w:szCs w:val="24"/>
        </w:rPr>
        <w:t xml:space="preserve"> giving rise to a mutated sperm or egg. Mutations in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occur more frequently in the male germ line.</w:t>
      </w:r>
      <w:hyperlink r:id="rId62" w:anchor="ref19" w:tgtFrame="_blank" w:history="1">
        <w:r w:rsidRPr="007A612C">
          <w:rPr>
            <w:rFonts w:ascii="Times New Roman" w:eastAsia="Times New Roman" w:hAnsi="Times New Roman" w:cs="Times New Roman"/>
            <w:color w:val="0066CC"/>
            <w:sz w:val="24"/>
            <w:szCs w:val="24"/>
            <w:u w:val="single"/>
          </w:rPr>
          <w:t>19</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is the presence of two genetically different cell lines arising after fertilization, and it informs the timing of </w:t>
      </w:r>
      <w:proofErr w:type="spellStart"/>
      <w:r w:rsidRPr="007A612C">
        <w:rPr>
          <w:rFonts w:ascii="Times New Roman" w:eastAsia="Times New Roman" w:hAnsi="Times New Roman" w:cs="Times New Roman"/>
          <w:sz w:val="24"/>
          <w:szCs w:val="24"/>
        </w:rPr>
        <w:t>postzygotic</w:t>
      </w:r>
      <w:proofErr w:type="spellEnd"/>
      <w:r w:rsidRPr="007A612C">
        <w:rPr>
          <w:rFonts w:ascii="Times New Roman" w:eastAsia="Times New Roman" w:hAnsi="Times New Roman" w:cs="Times New Roman"/>
          <w:sz w:val="24"/>
          <w:szCs w:val="24"/>
        </w:rPr>
        <w:t xml:space="preserve"> mutagenesis. Somatic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occurs in </w:t>
      </w:r>
      <w:proofErr w:type="spellStart"/>
      <w:r w:rsidRPr="007A612C">
        <w:rPr>
          <w:rFonts w:ascii="Times New Roman" w:eastAsia="Times New Roman" w:hAnsi="Times New Roman" w:cs="Times New Roman"/>
          <w:sz w:val="24"/>
          <w:szCs w:val="24"/>
        </w:rPr>
        <w:t>nonsex</w:t>
      </w:r>
      <w:proofErr w:type="spellEnd"/>
      <w:r w:rsidRPr="007A612C">
        <w:rPr>
          <w:rFonts w:ascii="Times New Roman" w:eastAsia="Times New Roman" w:hAnsi="Times New Roman" w:cs="Times New Roman"/>
          <w:sz w:val="24"/>
          <w:szCs w:val="24"/>
        </w:rPr>
        <w:t xml:space="preserve"> cells, whereas germ-line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occurs in the gamete-forming cells. In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 somatic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has been shown in cases in which mildly affected parents have one or more affected offspring.</w:t>
      </w:r>
      <w:hyperlink r:id="rId63" w:anchor="ref20" w:tgtFrame="_blank" w:history="1">
        <w:r w:rsidRPr="007A612C">
          <w:rPr>
            <w:rFonts w:ascii="Times New Roman" w:eastAsia="Times New Roman" w:hAnsi="Times New Roman" w:cs="Times New Roman"/>
            <w:color w:val="0066CC"/>
            <w:sz w:val="24"/>
            <w:szCs w:val="24"/>
            <w:u w:val="single"/>
          </w:rPr>
          <w:t>20-22</w:t>
        </w:r>
      </w:hyperlink>
      <w:r w:rsidRPr="007A612C">
        <w:rPr>
          <w:rFonts w:ascii="Times New Roman" w:eastAsia="Times New Roman" w:hAnsi="Times New Roman" w:cs="Times New Roman"/>
          <w:sz w:val="24"/>
          <w:szCs w:val="24"/>
        </w:rPr>
        <w:t xml:space="preserve"> Germ-line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is inferred in cases in which unaffected parents have multiple affected offspring.</w:t>
      </w:r>
      <w:hyperlink r:id="rId64" w:anchor="ref20" w:tgtFrame="_blank" w:history="1">
        <w:r w:rsidRPr="007A612C">
          <w:rPr>
            <w:rFonts w:ascii="Times New Roman" w:eastAsia="Times New Roman" w:hAnsi="Times New Roman" w:cs="Times New Roman"/>
            <w:color w:val="0066CC"/>
            <w:sz w:val="24"/>
            <w:szCs w:val="24"/>
            <w:u w:val="single"/>
          </w:rPr>
          <w:t>20</w:t>
        </w:r>
        <w:proofErr w:type="gramStart"/>
        <w:r w:rsidRPr="007A612C">
          <w:rPr>
            <w:rFonts w:ascii="Times New Roman" w:eastAsia="Times New Roman" w:hAnsi="Times New Roman" w:cs="Times New Roman"/>
            <w:color w:val="0066CC"/>
            <w:sz w:val="24"/>
            <w:szCs w:val="24"/>
            <w:u w:val="single"/>
          </w:rPr>
          <w:t>,22</w:t>
        </w:r>
        <w:proofErr w:type="gramEnd"/>
        <w:r w:rsidRPr="007A612C">
          <w:rPr>
            <w:rFonts w:ascii="Times New Roman" w:eastAsia="Times New Roman" w:hAnsi="Times New Roman" w:cs="Times New Roman"/>
            <w:color w:val="0066CC"/>
            <w:sz w:val="24"/>
            <w:szCs w:val="24"/>
            <w:u w:val="single"/>
          </w:rPr>
          <w:t>-25</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timing of mutagenesis is a critical factor in genetic counseling. Gametal mutations are associated with a negligible risk of recurrence, whereas germ-line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(which may not be identified until after the birth of two affected children) is associated with a high risk of recurrence. The timing for germ-line and somatic </w:t>
      </w:r>
      <w:proofErr w:type="spellStart"/>
      <w:r w:rsidRPr="007A612C">
        <w:rPr>
          <w:rFonts w:ascii="Times New Roman" w:eastAsia="Times New Roman" w:hAnsi="Times New Roman" w:cs="Times New Roman"/>
          <w:sz w:val="24"/>
          <w:szCs w:val="24"/>
        </w:rPr>
        <w:t>mosaicisms</w:t>
      </w:r>
      <w:proofErr w:type="spellEnd"/>
      <w:r w:rsidRPr="007A612C">
        <w:rPr>
          <w:rFonts w:ascii="Times New Roman" w:eastAsia="Times New Roman" w:hAnsi="Times New Roman" w:cs="Times New Roman"/>
          <w:sz w:val="24"/>
          <w:szCs w:val="24"/>
        </w:rPr>
        <w:t xml:space="preserve"> is illustrated in </w:t>
      </w:r>
      <w:hyperlink r:id="rId65" w:tgtFrame="_blank" w:history="1">
        <w:r w:rsidRPr="007A612C">
          <w:rPr>
            <w:rFonts w:ascii="Times New Roman" w:eastAsia="Times New Roman" w:hAnsi="Times New Roman" w:cs="Times New Roman"/>
            <w:color w:val="0066CC"/>
            <w:sz w:val="24"/>
            <w:szCs w:val="24"/>
            <w:u w:val="single"/>
          </w:rPr>
          <w:t>Figure 2</w:t>
        </w:r>
      </w:hyperlink>
      <w:r w:rsidRPr="007A612C">
        <w:rPr>
          <w:rFonts w:ascii="Times New Roman" w:eastAsia="Times New Roman" w:hAnsi="Times New Roman" w:cs="Times New Roman"/>
          <w:sz w:val="24"/>
          <w:szCs w:val="24"/>
        </w:rPr>
        <w:t>Figure 2</w:t>
      </w:r>
      <w:r>
        <w:rPr>
          <w:rFonts w:ascii="Times New Roman" w:eastAsia="Times New Roman" w:hAnsi="Times New Roman" w:cs="Times New Roman"/>
          <w:noProof/>
          <w:color w:val="0066CC"/>
          <w:sz w:val="24"/>
          <w:szCs w:val="24"/>
        </w:rPr>
        <w:drawing>
          <wp:inline distT="0" distB="0" distL="0" distR="0">
            <wp:extent cx="1052195" cy="750570"/>
            <wp:effectExtent l="19050" t="0" r="0" b="0"/>
            <wp:docPr id="11" name="Picture 11" descr="http://www.nejm.org/na102/home/ACS/publisher/mms/journals/content/nejm/2010/nejm_2010.363.issue-14/nejmoa0910752/production/images/small/nejmoa0910752_f2.gif">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jm.org/na102/home/ACS/publisher/mms/journals/content/nejm/2010/nejm_2010.363.issue-14/nejmoa0910752/production/images/small/nejmoa0910752_f2.gif">
                      <a:hlinkClick r:id="rId65" tgtFrame="_blank"/>
                    </pic:cNvPr>
                    <pic:cNvPicPr>
                      <a:picLocks noChangeAspect="1" noChangeArrowheads="1"/>
                    </pic:cNvPicPr>
                  </pic:nvPicPr>
                  <pic:blipFill>
                    <a:blip r:embed="rId9" cstate="print"/>
                    <a:srcRect/>
                    <a:stretch>
                      <a:fillRect/>
                    </a:stretch>
                  </pic:blipFill>
                  <pic:spPr bwMode="auto">
                    <a:xfrm>
                      <a:off x="0" y="0"/>
                      <a:ext cx="1052195" cy="750570"/>
                    </a:xfrm>
                    <a:prstGeom prst="rect">
                      <a:avLst/>
                    </a:prstGeom>
                    <a:noFill/>
                    <a:ln w="9525">
                      <a:noFill/>
                      <a:miter lim="800000"/>
                      <a:headEnd/>
                      <a:tailEnd/>
                    </a:ln>
                  </pic:spPr>
                </pic:pic>
              </a:graphicData>
            </a:graphic>
          </wp:inline>
        </w:drawing>
      </w:r>
      <w:r w:rsidRPr="007A612C">
        <w:rPr>
          <w:rFonts w:ascii="Times New Roman" w:eastAsia="Times New Roman" w:hAnsi="Times New Roman" w:cs="Times New Roman"/>
          <w:sz w:val="24"/>
          <w:szCs w:val="24"/>
        </w:rPr>
        <w:t xml:space="preserve">Timing of Mutations in </w:t>
      </w:r>
      <w:proofErr w:type="spellStart"/>
      <w:r w:rsidRPr="007A612C">
        <w:rPr>
          <w:rFonts w:ascii="Times New Roman" w:eastAsia="Times New Roman" w:hAnsi="Times New Roman" w:cs="Times New Roman"/>
          <w:sz w:val="24"/>
          <w:szCs w:val="24"/>
        </w:rPr>
        <w:t>Dravet's</w:t>
      </w:r>
      <w:proofErr w:type="spellEnd"/>
      <w:r w:rsidRPr="007A612C">
        <w:rPr>
          <w:rFonts w:ascii="Times New Roman" w:eastAsia="Times New Roman" w:hAnsi="Times New Roman" w:cs="Times New Roman"/>
          <w:sz w:val="24"/>
          <w:szCs w:val="24"/>
        </w:rPr>
        <w:t xml:space="preserve"> Syndrome</w:t>
      </w:r>
      <w:proofErr w:type="gramStart"/>
      <w:r w:rsidRPr="007A612C">
        <w:rPr>
          <w:rFonts w:ascii="Times New Roman" w:eastAsia="Times New Roman" w:hAnsi="Times New Roman" w:cs="Times New Roman"/>
          <w:sz w:val="24"/>
          <w:szCs w:val="24"/>
        </w:rPr>
        <w:t>..</w:t>
      </w:r>
      <w:proofErr w:type="gramEnd"/>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The findings in twin pair 3 are instructive with respect to the timing of mutagenesis. Since the mutation was found in all cell lines from different tissues in the </w:t>
      </w:r>
      <w:proofErr w:type="spellStart"/>
      <w:r w:rsidRPr="007A612C">
        <w:rPr>
          <w:rFonts w:ascii="Times New Roman" w:eastAsia="Times New Roman" w:hAnsi="Times New Roman" w:cs="Times New Roman"/>
          <w:sz w:val="24"/>
          <w:szCs w:val="24"/>
        </w:rPr>
        <w:t>proband</w:t>
      </w:r>
      <w:proofErr w:type="spellEnd"/>
      <w:r w:rsidRPr="007A612C">
        <w:rPr>
          <w:rFonts w:ascii="Times New Roman" w:eastAsia="Times New Roman" w:hAnsi="Times New Roman" w:cs="Times New Roman"/>
          <w:sz w:val="24"/>
          <w:szCs w:val="24"/>
        </w:rPr>
        <w:t xml:space="preserve"> but not in her twin, the de novo mutation probably occurred in the </w:t>
      </w:r>
      <w:proofErr w:type="spellStart"/>
      <w:r w:rsidRPr="007A612C">
        <w:rPr>
          <w:rFonts w:ascii="Times New Roman" w:eastAsia="Times New Roman" w:hAnsi="Times New Roman" w:cs="Times New Roman"/>
          <w:sz w:val="24"/>
          <w:szCs w:val="24"/>
        </w:rPr>
        <w:t>premorula</w:t>
      </w:r>
      <w:proofErr w:type="spellEnd"/>
      <w:r w:rsidRPr="007A612C">
        <w:rPr>
          <w:rFonts w:ascii="Times New Roman" w:eastAsia="Times New Roman" w:hAnsi="Times New Roman" w:cs="Times New Roman"/>
          <w:sz w:val="24"/>
          <w:szCs w:val="24"/>
        </w:rPr>
        <w:t xml:space="preserve"> embryo, most likely at the two-cell stage. The mutation may have occurred before or after the actual twinning process. If the de novo mutation occurred in the four-cell stage or later, the possibility of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xml:space="preserve"> would then arise. The implication for genetic counseling is that in a discordant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pair without evidence of </w:t>
      </w:r>
      <w:proofErr w:type="spellStart"/>
      <w:r w:rsidRPr="007A612C">
        <w:rPr>
          <w:rFonts w:ascii="Times New Roman" w:eastAsia="Times New Roman" w:hAnsi="Times New Roman" w:cs="Times New Roman"/>
          <w:sz w:val="24"/>
          <w:szCs w:val="24"/>
        </w:rPr>
        <w:t>mosaicism</w:t>
      </w:r>
      <w:proofErr w:type="spellEnd"/>
      <w:r w:rsidRPr="007A612C">
        <w:rPr>
          <w:rFonts w:ascii="Times New Roman" w:eastAsia="Times New Roman" w:hAnsi="Times New Roman" w:cs="Times New Roman"/>
          <w:sz w:val="24"/>
          <w:szCs w:val="24"/>
        </w:rPr>
        <w:t>, the risk that the mutation will recur is negligible.</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Similar timing could be postulated for the two other twin pairs in which the affected </w:t>
      </w:r>
      <w:proofErr w:type="spellStart"/>
      <w:r w:rsidRPr="007A612C">
        <w:rPr>
          <w:rFonts w:ascii="Times New Roman" w:eastAsia="Times New Roman" w:hAnsi="Times New Roman" w:cs="Times New Roman"/>
          <w:sz w:val="24"/>
          <w:szCs w:val="24"/>
        </w:rPr>
        <w:t>monozygous</w:t>
      </w:r>
      <w:proofErr w:type="spellEnd"/>
      <w:r w:rsidRPr="007A612C">
        <w:rPr>
          <w:rFonts w:ascii="Times New Roman" w:eastAsia="Times New Roman" w:hAnsi="Times New Roman" w:cs="Times New Roman"/>
          <w:sz w:val="24"/>
          <w:szCs w:val="24"/>
        </w:rPr>
        <w:t xml:space="preserve"> twin had a de novo mutation in a single gene, but the analysis of DNA, which was restricted to peripheral-blood leukocytes, precluded a more precise estimate of the timing.</w:t>
      </w:r>
      <w:hyperlink r:id="rId66" w:anchor="ref3" w:tgtFrame="_blank" w:history="1">
        <w:r w:rsidRPr="007A612C">
          <w:rPr>
            <w:rFonts w:ascii="Times New Roman" w:eastAsia="Times New Roman" w:hAnsi="Times New Roman" w:cs="Times New Roman"/>
            <w:color w:val="0066CC"/>
            <w:sz w:val="24"/>
            <w:szCs w:val="24"/>
            <w:u w:val="single"/>
          </w:rPr>
          <w:t>3</w:t>
        </w:r>
        <w:proofErr w:type="gramStart"/>
        <w:r w:rsidRPr="007A612C">
          <w:rPr>
            <w:rFonts w:ascii="Times New Roman" w:eastAsia="Times New Roman" w:hAnsi="Times New Roman" w:cs="Times New Roman"/>
            <w:color w:val="0066CC"/>
            <w:sz w:val="24"/>
            <w:szCs w:val="24"/>
            <w:u w:val="single"/>
          </w:rPr>
          <w:t>,4</w:t>
        </w:r>
        <w:proofErr w:type="gramEnd"/>
      </w:hyperlink>
      <w:r w:rsidRPr="007A612C">
        <w:rPr>
          <w:rFonts w:ascii="Times New Roman" w:eastAsia="Times New Roman" w:hAnsi="Times New Roman" w:cs="Times New Roman"/>
          <w:sz w:val="24"/>
          <w:szCs w:val="24"/>
        </w:rPr>
        <w:t xml:space="preserve"> Our study highlights the value of studies in twins to determine the timing of de novo mutagenesis.</w:t>
      </w:r>
    </w:p>
    <w:p w:rsidR="007A612C" w:rsidRPr="007A612C" w:rsidRDefault="007A612C" w:rsidP="007A612C">
      <w:pPr>
        <w:spacing w:after="0" w:line="240" w:lineRule="auto"/>
        <w:ind w:left="856"/>
        <w:rPr>
          <w:rFonts w:ascii="Times New Roman" w:eastAsia="Times New Roman" w:hAnsi="Times New Roman" w:cs="Times New Roman"/>
          <w:sz w:val="24"/>
          <w:szCs w:val="24"/>
        </w:rPr>
      </w:pPr>
      <w:proofErr w:type="gramStart"/>
      <w:r w:rsidRPr="007A612C">
        <w:rPr>
          <w:rFonts w:ascii="Times New Roman" w:eastAsia="Times New Roman" w:hAnsi="Times New Roman" w:cs="Times New Roman"/>
          <w:sz w:val="24"/>
          <w:szCs w:val="24"/>
        </w:rPr>
        <w:t>Supported by the National Health and Medical Research Council of Australia.</w:t>
      </w:r>
      <w:proofErr w:type="gramEnd"/>
    </w:p>
    <w:p w:rsidR="007A612C" w:rsidRPr="007A612C" w:rsidRDefault="007A612C" w:rsidP="007A612C">
      <w:pPr>
        <w:spacing w:after="0" w:line="240" w:lineRule="auto"/>
        <w:ind w:left="856"/>
        <w:rPr>
          <w:rFonts w:ascii="Times New Roman" w:eastAsia="Times New Roman" w:hAnsi="Times New Roman" w:cs="Times New Roman"/>
          <w:sz w:val="24"/>
          <w:szCs w:val="24"/>
        </w:rPr>
      </w:pPr>
      <w:hyperlink r:id="rId67" w:tgtFrame="_blank" w:history="1">
        <w:r w:rsidRPr="007A612C">
          <w:rPr>
            <w:rFonts w:ascii="Times New Roman" w:eastAsia="Times New Roman" w:hAnsi="Times New Roman" w:cs="Times New Roman"/>
            <w:color w:val="0066CC"/>
            <w:sz w:val="24"/>
            <w:szCs w:val="24"/>
            <w:u w:val="single"/>
          </w:rPr>
          <w:t>Disclosure forms</w:t>
        </w:r>
      </w:hyperlink>
      <w:r w:rsidRPr="007A612C">
        <w:rPr>
          <w:rFonts w:ascii="Times New Roman" w:eastAsia="Times New Roman" w:hAnsi="Times New Roman" w:cs="Times New Roman"/>
          <w:sz w:val="24"/>
          <w:szCs w:val="24"/>
        </w:rPr>
        <w:t xml:space="preserve"> provided by the authors are available with the full text of this article at NEJM.org.</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We thank the Australian Twin Registry, Robert Briggs for performing nasal biopsies, Louise Harkin for help with </w:t>
      </w:r>
      <w:r w:rsidRPr="007A612C">
        <w:rPr>
          <w:rFonts w:ascii="Times New Roman" w:eastAsia="Times New Roman" w:hAnsi="Times New Roman" w:cs="Times New Roman"/>
          <w:i/>
          <w:iCs/>
          <w:sz w:val="24"/>
          <w:szCs w:val="24"/>
        </w:rPr>
        <w:t>SCN1A</w:t>
      </w:r>
      <w:r w:rsidRPr="007A612C">
        <w:rPr>
          <w:rFonts w:ascii="Times New Roman" w:eastAsia="Times New Roman" w:hAnsi="Times New Roman" w:cs="Times New Roman"/>
          <w:sz w:val="24"/>
          <w:szCs w:val="24"/>
        </w:rPr>
        <w:t xml:space="preserve"> screening, John Mulley and Peter </w:t>
      </w:r>
      <w:proofErr w:type="spellStart"/>
      <w:r w:rsidRPr="007A612C">
        <w:rPr>
          <w:rFonts w:ascii="Times New Roman" w:eastAsia="Times New Roman" w:hAnsi="Times New Roman" w:cs="Times New Roman"/>
          <w:sz w:val="24"/>
          <w:szCs w:val="24"/>
        </w:rPr>
        <w:t>Koopman</w:t>
      </w:r>
      <w:proofErr w:type="spellEnd"/>
      <w:r w:rsidRPr="007A612C">
        <w:rPr>
          <w:rFonts w:ascii="Times New Roman" w:eastAsia="Times New Roman" w:hAnsi="Times New Roman" w:cs="Times New Roman"/>
          <w:sz w:val="24"/>
          <w:szCs w:val="24"/>
        </w:rPr>
        <w:t xml:space="preserve"> for their review of an earlier version of the manuscript, and Jeff Murray for his advice.</w:t>
      </w:r>
    </w:p>
    <w:p w:rsidR="007A612C" w:rsidRPr="007A612C" w:rsidRDefault="007A612C" w:rsidP="007A612C">
      <w:pPr>
        <w:spacing w:before="100" w:beforeAutospacing="1" w:after="100" w:afterAutospacing="1" w:line="240" w:lineRule="auto"/>
        <w:ind w:left="856"/>
        <w:outlineLvl w:val="2"/>
        <w:rPr>
          <w:rFonts w:ascii="Times New Roman" w:eastAsia="Times New Roman" w:hAnsi="Times New Roman" w:cs="Times New Roman"/>
          <w:b/>
          <w:bCs/>
          <w:sz w:val="27"/>
          <w:szCs w:val="27"/>
        </w:rPr>
      </w:pPr>
      <w:r w:rsidRPr="007A612C">
        <w:rPr>
          <w:rFonts w:ascii="Times New Roman" w:eastAsia="Times New Roman" w:hAnsi="Times New Roman" w:cs="Times New Roman"/>
          <w:b/>
          <w:bCs/>
          <w:sz w:val="27"/>
          <w:szCs w:val="27"/>
        </w:rPr>
        <w:t>Source Information</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From the Epilepsy Research Center, Austin Health, University of Melbourne (L.V., K.M.L., J.M.M., I.E.S., S.F.B.), and Royal Children's Hospital (I.E.S.) - both in Melbourne, VIC; the University of Queensland and Royal Brisbane and Women's </w:t>
      </w:r>
      <w:r w:rsidRPr="007A612C">
        <w:rPr>
          <w:rFonts w:ascii="Times New Roman" w:eastAsia="Times New Roman" w:hAnsi="Times New Roman" w:cs="Times New Roman"/>
          <w:sz w:val="24"/>
          <w:szCs w:val="24"/>
        </w:rPr>
        <w:lastRenderedPageBreak/>
        <w:t xml:space="preserve">Hospital (L.V.) and the National Center for Adult Stem Cell Research, Griffith University (W.M., A.M.-S.) - all in Brisbane, QLD; the Epilepsy Research Program, SA Pathology at Women's and Children's Hospital, North Adelaide, SA (L.M.D., X.I.); and the School of Pediatrics and Reproductive Health, University of Adelaide, Adelaide, SA (L.M.D.) - all in Australia; and the </w:t>
      </w:r>
      <w:proofErr w:type="spellStart"/>
      <w:r w:rsidRPr="007A612C">
        <w:rPr>
          <w:rFonts w:ascii="Times New Roman" w:eastAsia="Times New Roman" w:hAnsi="Times New Roman" w:cs="Times New Roman"/>
          <w:sz w:val="24"/>
          <w:szCs w:val="24"/>
        </w:rPr>
        <w:t>Vilhelm</w:t>
      </w:r>
      <w:proofErr w:type="spellEnd"/>
      <w:r w:rsidRPr="007A612C">
        <w:rPr>
          <w:rFonts w:ascii="Times New Roman" w:eastAsia="Times New Roman" w:hAnsi="Times New Roman" w:cs="Times New Roman"/>
          <w:sz w:val="24"/>
          <w:szCs w:val="24"/>
        </w:rPr>
        <w:t xml:space="preserve"> Magnus Center, Institute for Surgical Research, </w:t>
      </w:r>
      <w:proofErr w:type="spellStart"/>
      <w:r w:rsidRPr="007A612C">
        <w:rPr>
          <w:rFonts w:ascii="Times New Roman" w:eastAsia="Times New Roman" w:hAnsi="Times New Roman" w:cs="Times New Roman"/>
          <w:sz w:val="24"/>
          <w:szCs w:val="24"/>
        </w:rPr>
        <w:t>Rikshospital</w:t>
      </w:r>
      <w:proofErr w:type="spellEnd"/>
      <w:r w:rsidRPr="007A612C">
        <w:rPr>
          <w:rFonts w:ascii="Times New Roman" w:eastAsia="Times New Roman" w:hAnsi="Times New Roman" w:cs="Times New Roman"/>
          <w:sz w:val="24"/>
          <w:szCs w:val="24"/>
        </w:rPr>
        <w:t>, University of Oslo, Oslo (W.M.).</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xml:space="preserve">Address reprint requests to Dr. </w:t>
      </w:r>
      <w:proofErr w:type="spellStart"/>
      <w:r w:rsidRPr="007A612C">
        <w:rPr>
          <w:rFonts w:ascii="Times New Roman" w:eastAsia="Times New Roman" w:hAnsi="Times New Roman" w:cs="Times New Roman"/>
          <w:sz w:val="24"/>
          <w:szCs w:val="24"/>
        </w:rPr>
        <w:t>Berkovic</w:t>
      </w:r>
      <w:proofErr w:type="spellEnd"/>
      <w:r w:rsidRPr="007A612C">
        <w:rPr>
          <w:rFonts w:ascii="Times New Roman" w:eastAsia="Times New Roman" w:hAnsi="Times New Roman" w:cs="Times New Roman"/>
          <w:sz w:val="24"/>
          <w:szCs w:val="24"/>
        </w:rPr>
        <w:t xml:space="preserve"> at the Epilepsy Research Centre, 1st Fl., Neurosciences Bldg., Repatriation Campus, Austin Health, </w:t>
      </w:r>
      <w:proofErr w:type="spellStart"/>
      <w:r w:rsidRPr="007A612C">
        <w:rPr>
          <w:rFonts w:ascii="Times New Roman" w:eastAsia="Times New Roman" w:hAnsi="Times New Roman" w:cs="Times New Roman"/>
          <w:sz w:val="24"/>
          <w:szCs w:val="24"/>
        </w:rPr>
        <w:t>Banksia</w:t>
      </w:r>
      <w:proofErr w:type="spellEnd"/>
      <w:r w:rsidRPr="007A612C">
        <w:rPr>
          <w:rFonts w:ascii="Times New Roman" w:eastAsia="Times New Roman" w:hAnsi="Times New Roman" w:cs="Times New Roman"/>
          <w:sz w:val="24"/>
          <w:szCs w:val="24"/>
        </w:rPr>
        <w:t xml:space="preserve"> St., Heidelberg West, Melbourne, VIC, Australia, or at </w:t>
      </w:r>
      <w:hyperlink r:id="rId68" w:tgtFrame="_blank" w:history="1">
        <w:r w:rsidRPr="007A612C">
          <w:rPr>
            <w:rFonts w:ascii="Times New Roman" w:eastAsia="Times New Roman" w:hAnsi="Times New Roman" w:cs="Times New Roman"/>
            <w:color w:val="0066CC"/>
            <w:sz w:val="24"/>
            <w:szCs w:val="24"/>
            <w:u w:val="single"/>
          </w:rPr>
          <w:t>s.berkovic@unimelb.edu.au</w:t>
        </w:r>
      </w:hyperlink>
      <w:r w:rsidRPr="007A612C">
        <w:rPr>
          <w:rFonts w:ascii="Times New Roman" w:eastAsia="Times New Roman" w:hAnsi="Times New Roman" w:cs="Times New Roman"/>
          <w:sz w:val="24"/>
          <w:szCs w:val="24"/>
        </w:rPr>
        <w:t xml:space="preserve">. </w:t>
      </w:r>
    </w:p>
    <w:p w:rsidR="007A612C" w:rsidRPr="007A612C" w:rsidRDefault="007A612C" w:rsidP="007A612C">
      <w:pPr>
        <w:spacing w:after="0" w:line="240" w:lineRule="auto"/>
        <w:ind w:left="856"/>
        <w:rPr>
          <w:rFonts w:ascii="Times New Roman" w:eastAsia="Times New Roman" w:hAnsi="Times New Roman" w:cs="Times New Roman"/>
          <w:sz w:val="24"/>
          <w:szCs w:val="24"/>
        </w:rPr>
      </w:pPr>
      <w:r w:rsidRPr="007A612C">
        <w:rPr>
          <w:rFonts w:ascii="Times New Roman" w:eastAsia="Times New Roman" w:hAnsi="Times New Roman" w:cs="Times New Roman"/>
          <w:sz w:val="24"/>
          <w:szCs w:val="24"/>
        </w:rPr>
        <w:t> </w:t>
      </w:r>
    </w:p>
    <w:p w:rsidR="007A612C" w:rsidRPr="007A612C" w:rsidRDefault="007A612C" w:rsidP="007A612C">
      <w:pPr>
        <w:spacing w:after="136" w:line="240" w:lineRule="auto"/>
        <w:rPr>
          <w:rFonts w:ascii="Times New Roman" w:eastAsia="Times New Roman" w:hAnsi="Times New Roman" w:cs="Times New Roman"/>
          <w:sz w:val="24"/>
          <w:szCs w:val="24"/>
        </w:rPr>
      </w:pPr>
    </w:p>
    <w:p w:rsidR="001D7B29" w:rsidRDefault="001D7B29"/>
    <w:sectPr w:rsidR="001D7B29" w:rsidSect="00794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7B29"/>
    <w:rsid w:val="000F24EA"/>
    <w:rsid w:val="001D7B29"/>
    <w:rsid w:val="00794951"/>
    <w:rsid w:val="007A612C"/>
    <w:rsid w:val="0089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51"/>
  </w:style>
  <w:style w:type="paragraph" w:styleId="Heading1">
    <w:name w:val="heading 1"/>
    <w:basedOn w:val="Normal"/>
    <w:link w:val="Heading1Char"/>
    <w:uiPriority w:val="9"/>
    <w:qFormat/>
    <w:rsid w:val="007A6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B29"/>
    <w:rPr>
      <w:color w:val="0066CC"/>
      <w:u w:val="single"/>
    </w:rPr>
  </w:style>
  <w:style w:type="character" w:customStyle="1" w:styleId="ref">
    <w:name w:val="ref"/>
    <w:basedOn w:val="DefaultParagraphFont"/>
    <w:rsid w:val="001D7B29"/>
  </w:style>
  <w:style w:type="character" w:customStyle="1" w:styleId="Heading1Char">
    <w:name w:val="Heading 1 Char"/>
    <w:basedOn w:val="DefaultParagraphFont"/>
    <w:link w:val="Heading1"/>
    <w:uiPriority w:val="9"/>
    <w:rsid w:val="007A61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rPr>
  </w:style>
  <w:style w:type="character" w:customStyle="1" w:styleId="cgselectable">
    <w:name w:val="cgselectable"/>
    <w:basedOn w:val="DefaultParagraphFont"/>
    <w:rsid w:val="007A612C"/>
  </w:style>
  <w:style w:type="character" w:customStyle="1" w:styleId="headercontrols2">
    <w:name w:val="headercontrols2"/>
    <w:basedOn w:val="DefaultParagraphFont"/>
    <w:rsid w:val="007A612C"/>
    <w:rPr>
      <w:b w:val="0"/>
      <w:bCs w:val="0"/>
    </w:rPr>
  </w:style>
  <w:style w:type="character" w:customStyle="1" w:styleId="fontdarkgray1">
    <w:name w:val="fontdarkgray1"/>
    <w:basedOn w:val="DefaultParagraphFont"/>
    <w:rsid w:val="007A612C"/>
    <w:rPr>
      <w:color w:val="222222"/>
    </w:rPr>
  </w:style>
  <w:style w:type="character" w:customStyle="1" w:styleId="citation">
    <w:name w:val="citation"/>
    <w:basedOn w:val="DefaultParagraphFont"/>
    <w:rsid w:val="007A612C"/>
  </w:style>
  <w:style w:type="character" w:styleId="Emphasis">
    <w:name w:val="Emphasis"/>
    <w:basedOn w:val="DefaultParagraphFont"/>
    <w:uiPriority w:val="20"/>
    <w:qFormat/>
    <w:rsid w:val="007A612C"/>
    <w:rPr>
      <w:i/>
      <w:iCs/>
    </w:rPr>
  </w:style>
  <w:style w:type="character" w:customStyle="1" w:styleId="fig">
    <w:name w:val="fig"/>
    <w:basedOn w:val="DefaultParagraphFont"/>
    <w:rsid w:val="007A612C"/>
  </w:style>
  <w:style w:type="character" w:customStyle="1" w:styleId="figuretitle">
    <w:name w:val="figuretitle"/>
    <w:basedOn w:val="DefaultParagraphFont"/>
    <w:rsid w:val="007A612C"/>
  </w:style>
  <w:style w:type="character" w:customStyle="1" w:styleId="figurecaption">
    <w:name w:val="figurecaption"/>
    <w:basedOn w:val="DefaultParagraphFont"/>
    <w:rsid w:val="007A612C"/>
  </w:style>
  <w:style w:type="character" w:customStyle="1" w:styleId="table">
    <w:name w:val="table"/>
    <w:basedOn w:val="DefaultParagraphFont"/>
    <w:rsid w:val="007A612C"/>
  </w:style>
  <w:style w:type="paragraph" w:styleId="BalloonText">
    <w:name w:val="Balloon Text"/>
    <w:basedOn w:val="Normal"/>
    <w:link w:val="BalloonTextChar"/>
    <w:uiPriority w:val="99"/>
    <w:semiHidden/>
    <w:unhideWhenUsed/>
    <w:rsid w:val="007A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509163">
      <w:bodyDiv w:val="1"/>
      <w:marLeft w:val="0"/>
      <w:marRight w:val="0"/>
      <w:marTop w:val="0"/>
      <w:marBottom w:val="0"/>
      <w:divBdr>
        <w:top w:val="none" w:sz="0" w:space="0" w:color="auto"/>
        <w:left w:val="none" w:sz="0" w:space="0" w:color="auto"/>
        <w:bottom w:val="none" w:sz="0" w:space="0" w:color="auto"/>
        <w:right w:val="none" w:sz="0" w:space="0" w:color="auto"/>
      </w:divBdr>
      <w:divsChild>
        <w:div w:id="1079207120">
          <w:marLeft w:val="0"/>
          <w:marRight w:val="0"/>
          <w:marTop w:val="0"/>
          <w:marBottom w:val="0"/>
          <w:divBdr>
            <w:top w:val="none" w:sz="0" w:space="0" w:color="auto"/>
            <w:left w:val="none" w:sz="0" w:space="0" w:color="auto"/>
            <w:bottom w:val="none" w:sz="0" w:space="0" w:color="auto"/>
            <w:right w:val="none" w:sz="0" w:space="0" w:color="auto"/>
          </w:divBdr>
          <w:divsChild>
            <w:div w:id="489759608">
              <w:marLeft w:val="0"/>
              <w:marRight w:val="0"/>
              <w:marTop w:val="0"/>
              <w:marBottom w:val="0"/>
              <w:divBdr>
                <w:top w:val="none" w:sz="0" w:space="0" w:color="auto"/>
                <w:left w:val="none" w:sz="0" w:space="0" w:color="auto"/>
                <w:bottom w:val="none" w:sz="0" w:space="0" w:color="auto"/>
                <w:right w:val="none" w:sz="0" w:space="0" w:color="auto"/>
              </w:divBdr>
              <w:divsChild>
                <w:div w:id="109787889">
                  <w:marLeft w:val="0"/>
                  <w:marRight w:val="0"/>
                  <w:marTop w:val="0"/>
                  <w:marBottom w:val="0"/>
                  <w:divBdr>
                    <w:top w:val="none" w:sz="0" w:space="0" w:color="auto"/>
                    <w:left w:val="none" w:sz="0" w:space="0" w:color="auto"/>
                    <w:bottom w:val="none" w:sz="0" w:space="0" w:color="auto"/>
                    <w:right w:val="none" w:sz="0" w:space="0" w:color="auto"/>
                  </w:divBdr>
                  <w:divsChild>
                    <w:div w:id="1139496729">
                      <w:marLeft w:val="0"/>
                      <w:marRight w:val="0"/>
                      <w:marTop w:val="0"/>
                      <w:marBottom w:val="0"/>
                      <w:divBdr>
                        <w:top w:val="none" w:sz="0" w:space="0" w:color="auto"/>
                        <w:left w:val="none" w:sz="0" w:space="0" w:color="auto"/>
                        <w:bottom w:val="none" w:sz="0" w:space="0" w:color="auto"/>
                        <w:right w:val="none" w:sz="0" w:space="0" w:color="auto"/>
                      </w:divBdr>
                      <w:divsChild>
                        <w:div w:id="1220173288">
                          <w:marLeft w:val="0"/>
                          <w:marRight w:val="0"/>
                          <w:marTop w:val="0"/>
                          <w:marBottom w:val="0"/>
                          <w:divBdr>
                            <w:top w:val="none" w:sz="0" w:space="0" w:color="auto"/>
                            <w:left w:val="none" w:sz="0" w:space="0" w:color="auto"/>
                            <w:bottom w:val="none" w:sz="0" w:space="0" w:color="auto"/>
                            <w:right w:val="none" w:sz="0" w:space="0" w:color="auto"/>
                          </w:divBdr>
                          <w:divsChild>
                            <w:div w:id="11204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2509">
                  <w:marLeft w:val="0"/>
                  <w:marRight w:val="0"/>
                  <w:marTop w:val="0"/>
                  <w:marBottom w:val="0"/>
                  <w:divBdr>
                    <w:top w:val="none" w:sz="0" w:space="0" w:color="auto"/>
                    <w:left w:val="none" w:sz="0" w:space="0" w:color="auto"/>
                    <w:bottom w:val="none" w:sz="0" w:space="0" w:color="auto"/>
                    <w:right w:val="none" w:sz="0" w:space="0" w:color="auto"/>
                  </w:divBdr>
                  <w:divsChild>
                    <w:div w:id="516046314">
                      <w:marLeft w:val="0"/>
                      <w:marRight w:val="0"/>
                      <w:marTop w:val="0"/>
                      <w:marBottom w:val="0"/>
                      <w:divBdr>
                        <w:top w:val="none" w:sz="0" w:space="0" w:color="auto"/>
                        <w:left w:val="none" w:sz="0" w:space="0" w:color="auto"/>
                        <w:bottom w:val="none" w:sz="0" w:space="0" w:color="auto"/>
                        <w:right w:val="none" w:sz="0" w:space="0" w:color="auto"/>
                      </w:divBdr>
                      <w:divsChild>
                        <w:div w:id="13508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5071">
          <w:marLeft w:val="136"/>
          <w:marRight w:val="136"/>
          <w:marTop w:val="0"/>
          <w:marBottom w:val="136"/>
          <w:divBdr>
            <w:top w:val="none" w:sz="0" w:space="0" w:color="auto"/>
            <w:left w:val="none" w:sz="0" w:space="0" w:color="auto"/>
            <w:bottom w:val="none" w:sz="0" w:space="0" w:color="auto"/>
            <w:right w:val="none" w:sz="0" w:space="0" w:color="auto"/>
          </w:divBdr>
          <w:divsChild>
            <w:div w:id="594289038">
              <w:marLeft w:val="0"/>
              <w:marRight w:val="0"/>
              <w:marTop w:val="0"/>
              <w:marBottom w:val="0"/>
              <w:divBdr>
                <w:top w:val="none" w:sz="0" w:space="0" w:color="auto"/>
                <w:left w:val="none" w:sz="0" w:space="0" w:color="auto"/>
                <w:bottom w:val="none" w:sz="0" w:space="0" w:color="auto"/>
                <w:right w:val="none" w:sz="0" w:space="0" w:color="auto"/>
              </w:divBdr>
            </w:div>
            <w:div w:id="1571773143">
              <w:marLeft w:val="0"/>
              <w:marRight w:val="0"/>
              <w:marTop w:val="0"/>
              <w:marBottom w:val="0"/>
              <w:divBdr>
                <w:top w:val="none" w:sz="0" w:space="0" w:color="auto"/>
                <w:left w:val="none" w:sz="0" w:space="0" w:color="auto"/>
                <w:bottom w:val="none" w:sz="0" w:space="0" w:color="auto"/>
                <w:right w:val="none" w:sz="0" w:space="0" w:color="auto"/>
              </w:divBdr>
              <w:divsChild>
                <w:div w:id="369035267">
                  <w:marLeft w:val="0"/>
                  <w:marRight w:val="0"/>
                  <w:marTop w:val="0"/>
                  <w:marBottom w:val="0"/>
                  <w:divBdr>
                    <w:top w:val="none" w:sz="0" w:space="0" w:color="auto"/>
                    <w:left w:val="none" w:sz="0" w:space="0" w:color="auto"/>
                    <w:bottom w:val="none" w:sz="0" w:space="0" w:color="auto"/>
                    <w:right w:val="none" w:sz="0" w:space="0" w:color="auto"/>
                  </w:divBdr>
                  <w:divsChild>
                    <w:div w:id="1550801820">
                      <w:marLeft w:val="0"/>
                      <w:marRight w:val="0"/>
                      <w:marTop w:val="0"/>
                      <w:marBottom w:val="0"/>
                      <w:divBdr>
                        <w:top w:val="none" w:sz="0" w:space="0" w:color="auto"/>
                        <w:left w:val="none" w:sz="0" w:space="0" w:color="auto"/>
                        <w:bottom w:val="none" w:sz="0" w:space="0" w:color="auto"/>
                        <w:right w:val="none" w:sz="0" w:space="0" w:color="auto"/>
                      </w:divBdr>
                    </w:div>
                  </w:divsChild>
                </w:div>
                <w:div w:id="239950989">
                  <w:marLeft w:val="0"/>
                  <w:marRight w:val="0"/>
                  <w:marTop w:val="0"/>
                  <w:marBottom w:val="0"/>
                  <w:divBdr>
                    <w:top w:val="none" w:sz="0" w:space="0" w:color="auto"/>
                    <w:left w:val="none" w:sz="0" w:space="0" w:color="auto"/>
                    <w:bottom w:val="none" w:sz="0" w:space="0" w:color="auto"/>
                    <w:right w:val="none" w:sz="0" w:space="0" w:color="auto"/>
                  </w:divBdr>
                  <w:divsChild>
                    <w:div w:id="234361382">
                      <w:marLeft w:val="0"/>
                      <w:marRight w:val="0"/>
                      <w:marTop w:val="0"/>
                      <w:marBottom w:val="0"/>
                      <w:divBdr>
                        <w:top w:val="none" w:sz="0" w:space="0" w:color="auto"/>
                        <w:left w:val="none" w:sz="0" w:space="0" w:color="auto"/>
                        <w:bottom w:val="none" w:sz="0" w:space="0" w:color="auto"/>
                        <w:right w:val="none" w:sz="0" w:space="0" w:color="auto"/>
                      </w:divBdr>
                      <w:divsChild>
                        <w:div w:id="2039119544">
                          <w:marLeft w:val="0"/>
                          <w:marRight w:val="0"/>
                          <w:marTop w:val="0"/>
                          <w:marBottom w:val="0"/>
                          <w:divBdr>
                            <w:top w:val="none" w:sz="0" w:space="0" w:color="auto"/>
                            <w:left w:val="none" w:sz="0" w:space="0" w:color="auto"/>
                            <w:bottom w:val="none" w:sz="0" w:space="0" w:color="auto"/>
                            <w:right w:val="none" w:sz="0" w:space="0" w:color="auto"/>
                          </w:divBdr>
                          <w:divsChild>
                            <w:div w:id="1857187137">
                              <w:marLeft w:val="0"/>
                              <w:marRight w:val="0"/>
                              <w:marTop w:val="0"/>
                              <w:marBottom w:val="0"/>
                              <w:divBdr>
                                <w:top w:val="none" w:sz="0" w:space="0" w:color="auto"/>
                                <w:left w:val="none" w:sz="0" w:space="0" w:color="auto"/>
                                <w:bottom w:val="none" w:sz="0" w:space="0" w:color="auto"/>
                                <w:right w:val="none" w:sz="0" w:space="0" w:color="auto"/>
                              </w:divBdr>
                            </w:div>
                            <w:div w:id="21296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573">
                      <w:marLeft w:val="0"/>
                      <w:marRight w:val="0"/>
                      <w:marTop w:val="0"/>
                      <w:marBottom w:val="0"/>
                      <w:divBdr>
                        <w:top w:val="none" w:sz="0" w:space="0" w:color="auto"/>
                        <w:left w:val="none" w:sz="0" w:space="0" w:color="auto"/>
                        <w:bottom w:val="none" w:sz="0" w:space="0" w:color="auto"/>
                        <w:right w:val="none" w:sz="0" w:space="0" w:color="auto"/>
                      </w:divBdr>
                    </w:div>
                  </w:divsChild>
                </w:div>
                <w:div w:id="1111898084">
                  <w:marLeft w:val="0"/>
                  <w:marRight w:val="0"/>
                  <w:marTop w:val="0"/>
                  <w:marBottom w:val="0"/>
                  <w:divBdr>
                    <w:top w:val="none" w:sz="0" w:space="0" w:color="auto"/>
                    <w:left w:val="none" w:sz="0" w:space="0" w:color="auto"/>
                    <w:bottom w:val="none" w:sz="0" w:space="0" w:color="auto"/>
                    <w:right w:val="none" w:sz="0" w:space="0" w:color="auto"/>
                  </w:divBdr>
                </w:div>
                <w:div w:id="612127447">
                  <w:marLeft w:val="0"/>
                  <w:marRight w:val="0"/>
                  <w:marTop w:val="0"/>
                  <w:marBottom w:val="0"/>
                  <w:divBdr>
                    <w:top w:val="none" w:sz="0" w:space="0" w:color="auto"/>
                    <w:left w:val="none" w:sz="0" w:space="0" w:color="auto"/>
                    <w:bottom w:val="none" w:sz="0" w:space="0" w:color="auto"/>
                    <w:right w:val="none" w:sz="0" w:space="0" w:color="auto"/>
                  </w:divBdr>
                  <w:divsChild>
                    <w:div w:id="1139882620">
                      <w:marLeft w:val="0"/>
                      <w:marRight w:val="0"/>
                      <w:marTop w:val="0"/>
                      <w:marBottom w:val="0"/>
                      <w:divBdr>
                        <w:top w:val="none" w:sz="0" w:space="0" w:color="auto"/>
                        <w:left w:val="none" w:sz="0" w:space="0" w:color="auto"/>
                        <w:bottom w:val="none" w:sz="0" w:space="0" w:color="auto"/>
                        <w:right w:val="none" w:sz="0" w:space="0" w:color="auto"/>
                      </w:divBdr>
                    </w:div>
                    <w:div w:id="869681163">
                      <w:marLeft w:val="0"/>
                      <w:marRight w:val="0"/>
                      <w:marTop w:val="0"/>
                      <w:marBottom w:val="0"/>
                      <w:divBdr>
                        <w:top w:val="none" w:sz="0" w:space="0" w:color="auto"/>
                        <w:left w:val="none" w:sz="0" w:space="0" w:color="auto"/>
                        <w:bottom w:val="none" w:sz="0" w:space="0" w:color="auto"/>
                        <w:right w:val="none" w:sz="0" w:space="0" w:color="auto"/>
                      </w:divBdr>
                    </w:div>
                    <w:div w:id="1881823431">
                      <w:marLeft w:val="0"/>
                      <w:marRight w:val="0"/>
                      <w:marTop w:val="0"/>
                      <w:marBottom w:val="0"/>
                      <w:divBdr>
                        <w:top w:val="none" w:sz="0" w:space="0" w:color="auto"/>
                        <w:left w:val="none" w:sz="0" w:space="0" w:color="auto"/>
                        <w:bottom w:val="none" w:sz="0" w:space="0" w:color="auto"/>
                        <w:right w:val="none" w:sz="0" w:space="0" w:color="auto"/>
                      </w:divBdr>
                    </w:div>
                    <w:div w:id="2011634180">
                      <w:marLeft w:val="0"/>
                      <w:marRight w:val="0"/>
                      <w:marTop w:val="0"/>
                      <w:marBottom w:val="0"/>
                      <w:divBdr>
                        <w:top w:val="none" w:sz="0" w:space="0" w:color="auto"/>
                        <w:left w:val="none" w:sz="0" w:space="0" w:color="auto"/>
                        <w:bottom w:val="none" w:sz="0" w:space="0" w:color="auto"/>
                        <w:right w:val="none" w:sz="0" w:space="0" w:color="auto"/>
                      </w:divBdr>
                    </w:div>
                  </w:divsChild>
                </w:div>
                <w:div w:id="1536037227">
                  <w:marLeft w:val="0"/>
                  <w:marRight w:val="0"/>
                  <w:marTop w:val="0"/>
                  <w:marBottom w:val="0"/>
                  <w:divBdr>
                    <w:top w:val="none" w:sz="0" w:space="0" w:color="auto"/>
                    <w:left w:val="none" w:sz="0" w:space="0" w:color="auto"/>
                    <w:bottom w:val="none" w:sz="0" w:space="0" w:color="auto"/>
                    <w:right w:val="none" w:sz="0" w:space="0" w:color="auto"/>
                  </w:divBdr>
                  <w:divsChild>
                    <w:div w:id="675230688">
                      <w:marLeft w:val="0"/>
                      <w:marRight w:val="0"/>
                      <w:marTop w:val="0"/>
                      <w:marBottom w:val="0"/>
                      <w:divBdr>
                        <w:top w:val="none" w:sz="0" w:space="0" w:color="auto"/>
                        <w:left w:val="none" w:sz="0" w:space="0" w:color="auto"/>
                        <w:bottom w:val="none" w:sz="0" w:space="0" w:color="auto"/>
                        <w:right w:val="none" w:sz="0" w:space="0" w:color="auto"/>
                      </w:divBdr>
                    </w:div>
                    <w:div w:id="750347628">
                      <w:marLeft w:val="0"/>
                      <w:marRight w:val="0"/>
                      <w:marTop w:val="0"/>
                      <w:marBottom w:val="0"/>
                      <w:divBdr>
                        <w:top w:val="none" w:sz="0" w:space="0" w:color="auto"/>
                        <w:left w:val="none" w:sz="0" w:space="0" w:color="auto"/>
                        <w:bottom w:val="none" w:sz="0" w:space="0" w:color="auto"/>
                        <w:right w:val="none" w:sz="0" w:space="0" w:color="auto"/>
                      </w:divBdr>
                    </w:div>
                    <w:div w:id="2048139285">
                      <w:marLeft w:val="0"/>
                      <w:marRight w:val="0"/>
                      <w:marTop w:val="0"/>
                      <w:marBottom w:val="0"/>
                      <w:divBdr>
                        <w:top w:val="none" w:sz="0" w:space="0" w:color="auto"/>
                        <w:left w:val="none" w:sz="0" w:space="0" w:color="auto"/>
                        <w:bottom w:val="none" w:sz="0" w:space="0" w:color="auto"/>
                        <w:right w:val="none" w:sz="0" w:space="0" w:color="auto"/>
                      </w:divBdr>
                    </w:div>
                  </w:divsChild>
                </w:div>
                <w:div w:id="1157381097">
                  <w:marLeft w:val="0"/>
                  <w:marRight w:val="0"/>
                  <w:marTop w:val="0"/>
                  <w:marBottom w:val="0"/>
                  <w:divBdr>
                    <w:top w:val="none" w:sz="0" w:space="0" w:color="auto"/>
                    <w:left w:val="none" w:sz="0" w:space="0" w:color="auto"/>
                    <w:bottom w:val="none" w:sz="0" w:space="0" w:color="auto"/>
                    <w:right w:val="none" w:sz="0" w:space="0" w:color="auto"/>
                  </w:divBdr>
                </w:div>
                <w:div w:id="1149832850">
                  <w:marLeft w:val="0"/>
                  <w:marRight w:val="0"/>
                  <w:marTop w:val="0"/>
                  <w:marBottom w:val="0"/>
                  <w:divBdr>
                    <w:top w:val="none" w:sz="0" w:space="0" w:color="auto"/>
                    <w:left w:val="none" w:sz="0" w:space="0" w:color="auto"/>
                    <w:bottom w:val="none" w:sz="0" w:space="0" w:color="auto"/>
                    <w:right w:val="none" w:sz="0" w:space="0" w:color="auto"/>
                  </w:divBdr>
                  <w:divsChild>
                    <w:div w:id="2051611475">
                      <w:marLeft w:val="0"/>
                      <w:marRight w:val="0"/>
                      <w:marTop w:val="0"/>
                      <w:marBottom w:val="0"/>
                      <w:divBdr>
                        <w:top w:val="none" w:sz="0" w:space="0" w:color="auto"/>
                        <w:left w:val="none" w:sz="0" w:space="0" w:color="auto"/>
                        <w:bottom w:val="none" w:sz="0" w:space="0" w:color="auto"/>
                        <w:right w:val="none" w:sz="0" w:space="0" w:color="auto"/>
                      </w:divBdr>
                    </w:div>
                  </w:divsChild>
                </w:div>
                <w:div w:id="1739205743">
                  <w:marLeft w:val="0"/>
                  <w:marRight w:val="0"/>
                  <w:marTop w:val="0"/>
                  <w:marBottom w:val="0"/>
                  <w:divBdr>
                    <w:top w:val="none" w:sz="0" w:space="0" w:color="auto"/>
                    <w:left w:val="none" w:sz="0" w:space="0" w:color="auto"/>
                    <w:bottom w:val="none" w:sz="0" w:space="0" w:color="auto"/>
                    <w:right w:val="none" w:sz="0" w:space="0" w:color="auto"/>
                  </w:divBdr>
                  <w:divsChild>
                    <w:div w:id="1936549414">
                      <w:marLeft w:val="0"/>
                      <w:marRight w:val="0"/>
                      <w:marTop w:val="0"/>
                      <w:marBottom w:val="0"/>
                      <w:divBdr>
                        <w:top w:val="none" w:sz="0" w:space="0" w:color="auto"/>
                        <w:left w:val="none" w:sz="0" w:space="0" w:color="auto"/>
                        <w:bottom w:val="none" w:sz="0" w:space="0" w:color="auto"/>
                        <w:right w:val="none" w:sz="0" w:space="0" w:color="auto"/>
                      </w:divBdr>
                    </w:div>
                  </w:divsChild>
                </w:div>
                <w:div w:id="1341077285">
                  <w:marLeft w:val="0"/>
                  <w:marRight w:val="0"/>
                  <w:marTop w:val="0"/>
                  <w:marBottom w:val="0"/>
                  <w:divBdr>
                    <w:top w:val="none" w:sz="0" w:space="0" w:color="auto"/>
                    <w:left w:val="none" w:sz="0" w:space="0" w:color="auto"/>
                    <w:bottom w:val="none" w:sz="0" w:space="0" w:color="auto"/>
                    <w:right w:val="none" w:sz="0" w:space="0" w:color="auto"/>
                  </w:divBdr>
                  <w:divsChild>
                    <w:div w:id="1438327934">
                      <w:marLeft w:val="0"/>
                      <w:marRight w:val="0"/>
                      <w:marTop w:val="0"/>
                      <w:marBottom w:val="0"/>
                      <w:divBdr>
                        <w:top w:val="none" w:sz="0" w:space="0" w:color="auto"/>
                        <w:left w:val="none" w:sz="0" w:space="0" w:color="auto"/>
                        <w:bottom w:val="none" w:sz="0" w:space="0" w:color="auto"/>
                        <w:right w:val="none" w:sz="0" w:space="0" w:color="auto"/>
                      </w:divBdr>
                      <w:divsChild>
                        <w:div w:id="822238240">
                          <w:marLeft w:val="0"/>
                          <w:marRight w:val="0"/>
                          <w:marTop w:val="0"/>
                          <w:marBottom w:val="0"/>
                          <w:divBdr>
                            <w:top w:val="none" w:sz="0" w:space="0" w:color="auto"/>
                            <w:left w:val="none" w:sz="0" w:space="0" w:color="auto"/>
                            <w:bottom w:val="none" w:sz="0" w:space="0" w:color="auto"/>
                            <w:right w:val="none" w:sz="0" w:space="0" w:color="auto"/>
                          </w:divBdr>
                          <w:divsChild>
                            <w:div w:id="683630050">
                              <w:marLeft w:val="0"/>
                              <w:marRight w:val="0"/>
                              <w:marTop w:val="0"/>
                              <w:marBottom w:val="0"/>
                              <w:divBdr>
                                <w:top w:val="none" w:sz="0" w:space="0" w:color="auto"/>
                                <w:left w:val="none" w:sz="0" w:space="0" w:color="auto"/>
                                <w:bottom w:val="none" w:sz="0" w:space="0" w:color="auto"/>
                                <w:right w:val="none" w:sz="0" w:space="0" w:color="auto"/>
                              </w:divBdr>
                            </w:div>
                            <w:div w:id="12321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893">
                      <w:marLeft w:val="0"/>
                      <w:marRight w:val="0"/>
                      <w:marTop w:val="0"/>
                      <w:marBottom w:val="0"/>
                      <w:divBdr>
                        <w:top w:val="none" w:sz="0" w:space="0" w:color="auto"/>
                        <w:left w:val="none" w:sz="0" w:space="0" w:color="auto"/>
                        <w:bottom w:val="none" w:sz="0" w:space="0" w:color="auto"/>
                        <w:right w:val="none" w:sz="0" w:space="0" w:color="auto"/>
                      </w:divBdr>
                    </w:div>
                  </w:divsChild>
                </w:div>
                <w:div w:id="360663721">
                  <w:marLeft w:val="0"/>
                  <w:marRight w:val="0"/>
                  <w:marTop w:val="0"/>
                  <w:marBottom w:val="0"/>
                  <w:divBdr>
                    <w:top w:val="none" w:sz="0" w:space="0" w:color="auto"/>
                    <w:left w:val="none" w:sz="0" w:space="0" w:color="auto"/>
                    <w:bottom w:val="none" w:sz="0" w:space="0" w:color="auto"/>
                    <w:right w:val="none" w:sz="0" w:space="0" w:color="auto"/>
                  </w:divBdr>
                </w:div>
                <w:div w:id="1799563233">
                  <w:marLeft w:val="0"/>
                  <w:marRight w:val="0"/>
                  <w:marTop w:val="0"/>
                  <w:marBottom w:val="0"/>
                  <w:divBdr>
                    <w:top w:val="none" w:sz="0" w:space="0" w:color="auto"/>
                    <w:left w:val="none" w:sz="0" w:space="0" w:color="auto"/>
                    <w:bottom w:val="none" w:sz="0" w:space="0" w:color="auto"/>
                    <w:right w:val="none" w:sz="0" w:space="0" w:color="auto"/>
                  </w:divBdr>
                  <w:divsChild>
                    <w:div w:id="1094321129">
                      <w:marLeft w:val="0"/>
                      <w:marRight w:val="0"/>
                      <w:marTop w:val="0"/>
                      <w:marBottom w:val="0"/>
                      <w:divBdr>
                        <w:top w:val="none" w:sz="0" w:space="0" w:color="auto"/>
                        <w:left w:val="none" w:sz="0" w:space="0" w:color="auto"/>
                        <w:bottom w:val="none" w:sz="0" w:space="0" w:color="auto"/>
                        <w:right w:val="none" w:sz="0" w:space="0" w:color="auto"/>
                      </w:divBdr>
                    </w:div>
                    <w:div w:id="85855833">
                      <w:marLeft w:val="0"/>
                      <w:marRight w:val="0"/>
                      <w:marTop w:val="0"/>
                      <w:marBottom w:val="0"/>
                      <w:divBdr>
                        <w:top w:val="none" w:sz="0" w:space="0" w:color="auto"/>
                        <w:left w:val="none" w:sz="0" w:space="0" w:color="auto"/>
                        <w:bottom w:val="none" w:sz="0" w:space="0" w:color="auto"/>
                        <w:right w:val="none" w:sz="0" w:space="0" w:color="auto"/>
                      </w:divBdr>
                    </w:div>
                    <w:div w:id="1870993774">
                      <w:marLeft w:val="0"/>
                      <w:marRight w:val="0"/>
                      <w:marTop w:val="0"/>
                      <w:marBottom w:val="0"/>
                      <w:divBdr>
                        <w:top w:val="none" w:sz="0" w:space="0" w:color="auto"/>
                        <w:left w:val="none" w:sz="0" w:space="0" w:color="auto"/>
                        <w:bottom w:val="none" w:sz="0" w:space="0" w:color="auto"/>
                        <w:right w:val="none" w:sz="0" w:space="0" w:color="auto"/>
                      </w:divBdr>
                    </w:div>
                    <w:div w:id="719743213">
                      <w:marLeft w:val="0"/>
                      <w:marRight w:val="0"/>
                      <w:marTop w:val="0"/>
                      <w:marBottom w:val="0"/>
                      <w:divBdr>
                        <w:top w:val="none" w:sz="0" w:space="0" w:color="auto"/>
                        <w:left w:val="none" w:sz="0" w:space="0" w:color="auto"/>
                        <w:bottom w:val="none" w:sz="0" w:space="0" w:color="auto"/>
                        <w:right w:val="none" w:sz="0" w:space="0" w:color="auto"/>
                      </w:divBdr>
                    </w:div>
                  </w:divsChild>
                </w:div>
                <w:div w:id="285742637">
                  <w:marLeft w:val="0"/>
                  <w:marRight w:val="0"/>
                  <w:marTop w:val="0"/>
                  <w:marBottom w:val="0"/>
                  <w:divBdr>
                    <w:top w:val="none" w:sz="0" w:space="0" w:color="auto"/>
                    <w:left w:val="none" w:sz="0" w:space="0" w:color="auto"/>
                    <w:bottom w:val="none" w:sz="0" w:space="0" w:color="auto"/>
                    <w:right w:val="none" w:sz="0" w:space="0" w:color="auto"/>
                  </w:divBdr>
                  <w:divsChild>
                    <w:div w:id="1977250921">
                      <w:marLeft w:val="0"/>
                      <w:marRight w:val="0"/>
                      <w:marTop w:val="0"/>
                      <w:marBottom w:val="0"/>
                      <w:divBdr>
                        <w:top w:val="none" w:sz="0" w:space="0" w:color="auto"/>
                        <w:left w:val="none" w:sz="0" w:space="0" w:color="auto"/>
                        <w:bottom w:val="none" w:sz="0" w:space="0" w:color="auto"/>
                        <w:right w:val="none" w:sz="0" w:space="0" w:color="auto"/>
                      </w:divBdr>
                    </w:div>
                    <w:div w:id="436370452">
                      <w:marLeft w:val="0"/>
                      <w:marRight w:val="0"/>
                      <w:marTop w:val="0"/>
                      <w:marBottom w:val="0"/>
                      <w:divBdr>
                        <w:top w:val="none" w:sz="0" w:space="0" w:color="auto"/>
                        <w:left w:val="none" w:sz="0" w:space="0" w:color="auto"/>
                        <w:bottom w:val="none" w:sz="0" w:space="0" w:color="auto"/>
                        <w:right w:val="none" w:sz="0" w:space="0" w:color="auto"/>
                      </w:divBdr>
                    </w:div>
                    <w:div w:id="1234122433">
                      <w:marLeft w:val="0"/>
                      <w:marRight w:val="0"/>
                      <w:marTop w:val="0"/>
                      <w:marBottom w:val="0"/>
                      <w:divBdr>
                        <w:top w:val="none" w:sz="0" w:space="0" w:color="auto"/>
                        <w:left w:val="none" w:sz="0" w:space="0" w:color="auto"/>
                        <w:bottom w:val="none" w:sz="0" w:space="0" w:color="auto"/>
                        <w:right w:val="none" w:sz="0" w:space="0" w:color="auto"/>
                      </w:divBdr>
                    </w:div>
                  </w:divsChild>
                </w:div>
                <w:div w:id="1011377381">
                  <w:marLeft w:val="0"/>
                  <w:marRight w:val="0"/>
                  <w:marTop w:val="0"/>
                  <w:marBottom w:val="0"/>
                  <w:divBdr>
                    <w:top w:val="none" w:sz="0" w:space="0" w:color="auto"/>
                    <w:left w:val="none" w:sz="0" w:space="0" w:color="auto"/>
                    <w:bottom w:val="none" w:sz="0" w:space="0" w:color="auto"/>
                    <w:right w:val="none" w:sz="0" w:space="0" w:color="auto"/>
                  </w:divBdr>
                </w:div>
                <w:div w:id="1057700253">
                  <w:marLeft w:val="0"/>
                  <w:marRight w:val="0"/>
                  <w:marTop w:val="0"/>
                  <w:marBottom w:val="0"/>
                  <w:divBdr>
                    <w:top w:val="none" w:sz="0" w:space="0" w:color="auto"/>
                    <w:left w:val="none" w:sz="0" w:space="0" w:color="auto"/>
                    <w:bottom w:val="none" w:sz="0" w:space="0" w:color="auto"/>
                    <w:right w:val="none" w:sz="0" w:space="0" w:color="auto"/>
                  </w:divBdr>
                  <w:divsChild>
                    <w:div w:id="10918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342735">
                  <w:marLeft w:val="0"/>
                  <w:marRight w:val="0"/>
                  <w:marTop w:val="0"/>
                  <w:marBottom w:val="0"/>
                  <w:divBdr>
                    <w:top w:val="none" w:sz="0" w:space="0" w:color="auto"/>
                    <w:left w:val="none" w:sz="0" w:space="0" w:color="auto"/>
                    <w:bottom w:val="none" w:sz="0" w:space="0" w:color="auto"/>
                    <w:right w:val="none" w:sz="0" w:space="0" w:color="auto"/>
                  </w:divBdr>
                  <w:divsChild>
                    <w:div w:id="2090880566">
                      <w:marLeft w:val="0"/>
                      <w:marRight w:val="0"/>
                      <w:marTop w:val="0"/>
                      <w:marBottom w:val="0"/>
                      <w:divBdr>
                        <w:top w:val="none" w:sz="0" w:space="0" w:color="auto"/>
                        <w:left w:val="none" w:sz="0" w:space="0" w:color="auto"/>
                        <w:bottom w:val="none" w:sz="0" w:space="0" w:color="auto"/>
                        <w:right w:val="none" w:sz="0" w:space="0" w:color="auto"/>
                      </w:divBdr>
                    </w:div>
                    <w:div w:id="168255172">
                      <w:marLeft w:val="0"/>
                      <w:marRight w:val="0"/>
                      <w:marTop w:val="0"/>
                      <w:marBottom w:val="0"/>
                      <w:divBdr>
                        <w:top w:val="none" w:sz="0" w:space="0" w:color="auto"/>
                        <w:left w:val="none" w:sz="0" w:space="0" w:color="auto"/>
                        <w:bottom w:val="none" w:sz="0" w:space="0" w:color="auto"/>
                        <w:right w:val="none" w:sz="0" w:space="0" w:color="auto"/>
                      </w:divBdr>
                    </w:div>
                    <w:div w:id="871844472">
                      <w:marLeft w:val="0"/>
                      <w:marRight w:val="0"/>
                      <w:marTop w:val="0"/>
                      <w:marBottom w:val="0"/>
                      <w:divBdr>
                        <w:top w:val="none" w:sz="0" w:space="0" w:color="auto"/>
                        <w:left w:val="none" w:sz="0" w:space="0" w:color="auto"/>
                        <w:bottom w:val="none" w:sz="0" w:space="0" w:color="auto"/>
                        <w:right w:val="none" w:sz="0" w:space="0" w:color="auto"/>
                      </w:divBdr>
                    </w:div>
                    <w:div w:id="1921016372">
                      <w:marLeft w:val="0"/>
                      <w:marRight w:val="0"/>
                      <w:marTop w:val="0"/>
                      <w:marBottom w:val="0"/>
                      <w:divBdr>
                        <w:top w:val="none" w:sz="0" w:space="0" w:color="auto"/>
                        <w:left w:val="none" w:sz="0" w:space="0" w:color="auto"/>
                        <w:bottom w:val="none" w:sz="0" w:space="0" w:color="auto"/>
                        <w:right w:val="none" w:sz="0" w:space="0" w:color="auto"/>
                      </w:divBdr>
                    </w:div>
                    <w:div w:id="323706420">
                      <w:marLeft w:val="0"/>
                      <w:marRight w:val="0"/>
                      <w:marTop w:val="0"/>
                      <w:marBottom w:val="0"/>
                      <w:divBdr>
                        <w:top w:val="none" w:sz="0" w:space="0" w:color="auto"/>
                        <w:left w:val="none" w:sz="0" w:space="0" w:color="auto"/>
                        <w:bottom w:val="none" w:sz="0" w:space="0" w:color="auto"/>
                        <w:right w:val="none" w:sz="0" w:space="0" w:color="auto"/>
                      </w:divBdr>
                    </w:div>
                    <w:div w:id="291443871">
                      <w:marLeft w:val="0"/>
                      <w:marRight w:val="0"/>
                      <w:marTop w:val="0"/>
                      <w:marBottom w:val="0"/>
                      <w:divBdr>
                        <w:top w:val="none" w:sz="0" w:space="0" w:color="auto"/>
                        <w:left w:val="none" w:sz="0" w:space="0" w:color="auto"/>
                        <w:bottom w:val="none" w:sz="0" w:space="0" w:color="auto"/>
                        <w:right w:val="none" w:sz="0" w:space="0" w:color="auto"/>
                      </w:divBdr>
                    </w:div>
                    <w:div w:id="856890838">
                      <w:marLeft w:val="0"/>
                      <w:marRight w:val="0"/>
                      <w:marTop w:val="0"/>
                      <w:marBottom w:val="0"/>
                      <w:divBdr>
                        <w:top w:val="none" w:sz="0" w:space="0" w:color="auto"/>
                        <w:left w:val="none" w:sz="0" w:space="0" w:color="auto"/>
                        <w:bottom w:val="none" w:sz="0" w:space="0" w:color="auto"/>
                        <w:right w:val="none" w:sz="0" w:space="0" w:color="auto"/>
                      </w:divBdr>
                    </w:div>
                    <w:div w:id="517475059">
                      <w:marLeft w:val="0"/>
                      <w:marRight w:val="0"/>
                      <w:marTop w:val="0"/>
                      <w:marBottom w:val="0"/>
                      <w:divBdr>
                        <w:top w:val="none" w:sz="0" w:space="0" w:color="auto"/>
                        <w:left w:val="none" w:sz="0" w:space="0" w:color="auto"/>
                        <w:bottom w:val="none" w:sz="0" w:space="0" w:color="auto"/>
                        <w:right w:val="none" w:sz="0" w:space="0" w:color="auto"/>
                      </w:divBdr>
                    </w:div>
                    <w:div w:id="422578217">
                      <w:marLeft w:val="0"/>
                      <w:marRight w:val="0"/>
                      <w:marTop w:val="0"/>
                      <w:marBottom w:val="0"/>
                      <w:divBdr>
                        <w:top w:val="none" w:sz="0" w:space="0" w:color="auto"/>
                        <w:left w:val="none" w:sz="0" w:space="0" w:color="auto"/>
                        <w:bottom w:val="none" w:sz="0" w:space="0" w:color="auto"/>
                        <w:right w:val="none" w:sz="0" w:space="0" w:color="auto"/>
                      </w:divBdr>
                    </w:div>
                    <w:div w:id="332993011">
                      <w:marLeft w:val="0"/>
                      <w:marRight w:val="0"/>
                      <w:marTop w:val="0"/>
                      <w:marBottom w:val="0"/>
                      <w:divBdr>
                        <w:top w:val="none" w:sz="0" w:space="0" w:color="auto"/>
                        <w:left w:val="none" w:sz="0" w:space="0" w:color="auto"/>
                        <w:bottom w:val="none" w:sz="0" w:space="0" w:color="auto"/>
                        <w:right w:val="none" w:sz="0" w:space="0" w:color="auto"/>
                      </w:divBdr>
                    </w:div>
                    <w:div w:id="593973600">
                      <w:marLeft w:val="0"/>
                      <w:marRight w:val="0"/>
                      <w:marTop w:val="0"/>
                      <w:marBottom w:val="0"/>
                      <w:divBdr>
                        <w:top w:val="none" w:sz="0" w:space="0" w:color="auto"/>
                        <w:left w:val="none" w:sz="0" w:space="0" w:color="auto"/>
                        <w:bottom w:val="none" w:sz="0" w:space="0" w:color="auto"/>
                        <w:right w:val="none" w:sz="0" w:space="0" w:color="auto"/>
                      </w:divBdr>
                    </w:div>
                    <w:div w:id="1745833274">
                      <w:marLeft w:val="0"/>
                      <w:marRight w:val="0"/>
                      <w:marTop w:val="0"/>
                      <w:marBottom w:val="0"/>
                      <w:divBdr>
                        <w:top w:val="none" w:sz="0" w:space="0" w:color="auto"/>
                        <w:left w:val="none" w:sz="0" w:space="0" w:color="auto"/>
                        <w:bottom w:val="none" w:sz="0" w:space="0" w:color="auto"/>
                        <w:right w:val="none" w:sz="0" w:space="0" w:color="auto"/>
                      </w:divBdr>
                    </w:div>
                    <w:div w:id="1366254541">
                      <w:marLeft w:val="0"/>
                      <w:marRight w:val="0"/>
                      <w:marTop w:val="0"/>
                      <w:marBottom w:val="0"/>
                      <w:divBdr>
                        <w:top w:val="none" w:sz="0" w:space="0" w:color="auto"/>
                        <w:left w:val="none" w:sz="0" w:space="0" w:color="auto"/>
                        <w:bottom w:val="none" w:sz="0" w:space="0" w:color="auto"/>
                        <w:right w:val="none" w:sz="0" w:space="0" w:color="auto"/>
                      </w:divBdr>
                    </w:div>
                    <w:div w:id="1373774232">
                      <w:marLeft w:val="0"/>
                      <w:marRight w:val="0"/>
                      <w:marTop w:val="0"/>
                      <w:marBottom w:val="0"/>
                      <w:divBdr>
                        <w:top w:val="none" w:sz="0" w:space="0" w:color="auto"/>
                        <w:left w:val="none" w:sz="0" w:space="0" w:color="auto"/>
                        <w:bottom w:val="none" w:sz="0" w:space="0" w:color="auto"/>
                        <w:right w:val="none" w:sz="0" w:space="0" w:color="auto"/>
                      </w:divBdr>
                    </w:div>
                    <w:div w:id="1220823487">
                      <w:marLeft w:val="0"/>
                      <w:marRight w:val="0"/>
                      <w:marTop w:val="0"/>
                      <w:marBottom w:val="0"/>
                      <w:divBdr>
                        <w:top w:val="none" w:sz="0" w:space="0" w:color="auto"/>
                        <w:left w:val="none" w:sz="0" w:space="0" w:color="auto"/>
                        <w:bottom w:val="none" w:sz="0" w:space="0" w:color="auto"/>
                        <w:right w:val="none" w:sz="0" w:space="0" w:color="auto"/>
                      </w:divBdr>
                    </w:div>
                    <w:div w:id="1254165582">
                      <w:marLeft w:val="0"/>
                      <w:marRight w:val="0"/>
                      <w:marTop w:val="0"/>
                      <w:marBottom w:val="0"/>
                      <w:divBdr>
                        <w:top w:val="none" w:sz="0" w:space="0" w:color="auto"/>
                        <w:left w:val="none" w:sz="0" w:space="0" w:color="auto"/>
                        <w:bottom w:val="none" w:sz="0" w:space="0" w:color="auto"/>
                        <w:right w:val="none" w:sz="0" w:space="0" w:color="auto"/>
                      </w:divBdr>
                    </w:div>
                    <w:div w:id="386299376">
                      <w:marLeft w:val="0"/>
                      <w:marRight w:val="0"/>
                      <w:marTop w:val="0"/>
                      <w:marBottom w:val="0"/>
                      <w:divBdr>
                        <w:top w:val="none" w:sz="0" w:space="0" w:color="auto"/>
                        <w:left w:val="none" w:sz="0" w:space="0" w:color="auto"/>
                        <w:bottom w:val="none" w:sz="0" w:space="0" w:color="auto"/>
                        <w:right w:val="none" w:sz="0" w:space="0" w:color="auto"/>
                      </w:divBdr>
                    </w:div>
                    <w:div w:id="419718262">
                      <w:marLeft w:val="0"/>
                      <w:marRight w:val="0"/>
                      <w:marTop w:val="0"/>
                      <w:marBottom w:val="0"/>
                      <w:divBdr>
                        <w:top w:val="none" w:sz="0" w:space="0" w:color="auto"/>
                        <w:left w:val="none" w:sz="0" w:space="0" w:color="auto"/>
                        <w:bottom w:val="none" w:sz="0" w:space="0" w:color="auto"/>
                        <w:right w:val="none" w:sz="0" w:space="0" w:color="auto"/>
                      </w:divBdr>
                    </w:div>
                    <w:div w:id="439684873">
                      <w:marLeft w:val="0"/>
                      <w:marRight w:val="0"/>
                      <w:marTop w:val="0"/>
                      <w:marBottom w:val="0"/>
                      <w:divBdr>
                        <w:top w:val="none" w:sz="0" w:space="0" w:color="auto"/>
                        <w:left w:val="none" w:sz="0" w:space="0" w:color="auto"/>
                        <w:bottom w:val="none" w:sz="0" w:space="0" w:color="auto"/>
                        <w:right w:val="none" w:sz="0" w:space="0" w:color="auto"/>
                      </w:divBdr>
                    </w:div>
                    <w:div w:id="1688821997">
                      <w:marLeft w:val="0"/>
                      <w:marRight w:val="0"/>
                      <w:marTop w:val="0"/>
                      <w:marBottom w:val="0"/>
                      <w:divBdr>
                        <w:top w:val="none" w:sz="0" w:space="0" w:color="auto"/>
                        <w:left w:val="none" w:sz="0" w:space="0" w:color="auto"/>
                        <w:bottom w:val="none" w:sz="0" w:space="0" w:color="auto"/>
                        <w:right w:val="none" w:sz="0" w:space="0" w:color="auto"/>
                      </w:divBdr>
                    </w:div>
                    <w:div w:id="1984696136">
                      <w:marLeft w:val="0"/>
                      <w:marRight w:val="0"/>
                      <w:marTop w:val="0"/>
                      <w:marBottom w:val="0"/>
                      <w:divBdr>
                        <w:top w:val="none" w:sz="0" w:space="0" w:color="auto"/>
                        <w:left w:val="none" w:sz="0" w:space="0" w:color="auto"/>
                        <w:bottom w:val="none" w:sz="0" w:space="0" w:color="auto"/>
                        <w:right w:val="none" w:sz="0" w:space="0" w:color="auto"/>
                      </w:divBdr>
                    </w:div>
                    <w:div w:id="1039546682">
                      <w:marLeft w:val="0"/>
                      <w:marRight w:val="0"/>
                      <w:marTop w:val="0"/>
                      <w:marBottom w:val="0"/>
                      <w:divBdr>
                        <w:top w:val="none" w:sz="0" w:space="0" w:color="auto"/>
                        <w:left w:val="none" w:sz="0" w:space="0" w:color="auto"/>
                        <w:bottom w:val="none" w:sz="0" w:space="0" w:color="auto"/>
                        <w:right w:val="none" w:sz="0" w:space="0" w:color="auto"/>
                      </w:divBdr>
                    </w:div>
                    <w:div w:id="21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81836">
      <w:bodyDiv w:val="1"/>
      <w:marLeft w:val="0"/>
      <w:marRight w:val="0"/>
      <w:marTop w:val="0"/>
      <w:marBottom w:val="0"/>
      <w:divBdr>
        <w:top w:val="none" w:sz="0" w:space="0" w:color="auto"/>
        <w:left w:val="none" w:sz="0" w:space="0" w:color="auto"/>
        <w:bottom w:val="none" w:sz="0" w:space="0" w:color="auto"/>
        <w:right w:val="none" w:sz="0" w:space="0" w:color="auto"/>
      </w:divBdr>
      <w:divsChild>
        <w:div w:id="777217898">
          <w:marLeft w:val="136"/>
          <w:marRight w:val="136"/>
          <w:marTop w:val="0"/>
          <w:marBottom w:val="136"/>
          <w:divBdr>
            <w:top w:val="none" w:sz="0" w:space="0" w:color="auto"/>
            <w:left w:val="none" w:sz="0" w:space="0" w:color="auto"/>
            <w:bottom w:val="none" w:sz="0" w:space="0" w:color="auto"/>
            <w:right w:val="none" w:sz="0" w:space="0" w:color="auto"/>
          </w:divBdr>
          <w:divsChild>
            <w:div w:id="1569069122">
              <w:marLeft w:val="0"/>
              <w:marRight w:val="0"/>
              <w:marTop w:val="0"/>
              <w:marBottom w:val="0"/>
              <w:divBdr>
                <w:top w:val="none" w:sz="0" w:space="0" w:color="auto"/>
                <w:left w:val="none" w:sz="0" w:space="0" w:color="auto"/>
                <w:bottom w:val="none" w:sz="0" w:space="0" w:color="auto"/>
                <w:right w:val="none" w:sz="0" w:space="0" w:color="auto"/>
              </w:divBdr>
              <w:divsChild>
                <w:div w:id="919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jm.org/doi/full/10.1056/NEJMoa0910752" TargetMode="External"/><Relationship Id="rId18" Type="http://schemas.openxmlformats.org/officeDocument/2006/relationships/hyperlink" Target="http://www.nejm.org/doi/full/10.1056/NEJMoa0910752" TargetMode="External"/><Relationship Id="rId26" Type="http://schemas.openxmlformats.org/officeDocument/2006/relationships/hyperlink" Target="http://www.nejm.org/doi/full/10.1056/NEJMoa0910752" TargetMode="External"/><Relationship Id="rId39" Type="http://schemas.openxmlformats.org/officeDocument/2006/relationships/hyperlink" Target="http://www.nejm.org/toc/nejm/363/14/" TargetMode="External"/><Relationship Id="rId21" Type="http://schemas.openxmlformats.org/officeDocument/2006/relationships/hyperlink" Target="http://www.nejm.org/doi/full/10.1056/NEJMoa0910752" TargetMode="External"/><Relationship Id="rId34" Type="http://schemas.openxmlformats.org/officeDocument/2006/relationships/hyperlink" Target="http://www.nejm.org/doi/full/10.1056/NEJMoa0910752" TargetMode="External"/><Relationship Id="rId42" Type="http://schemas.openxmlformats.org/officeDocument/2006/relationships/hyperlink" Target="http://www.nejm.org/doi/full/10.1056/NEJMoa0910752" TargetMode="External"/><Relationship Id="rId47" Type="http://schemas.openxmlformats.org/officeDocument/2006/relationships/hyperlink" Target="http://www.nejm.org/doi/full/10.1056/NEJMoa0910752" TargetMode="External"/><Relationship Id="rId50" Type="http://schemas.openxmlformats.org/officeDocument/2006/relationships/hyperlink" Target="http://www.nejm.org/doi/full/10.1056/NEJMoa0910752" TargetMode="External"/><Relationship Id="rId55" Type="http://schemas.openxmlformats.org/officeDocument/2006/relationships/hyperlink" Target="http://www.nejm.org/doi/full/10.1056/NEJMoa0910752" TargetMode="External"/><Relationship Id="rId63" Type="http://schemas.openxmlformats.org/officeDocument/2006/relationships/hyperlink" Target="http://www.nejm.org/doi/full/10.1056/NEJMoa0910752" TargetMode="External"/><Relationship Id="rId68" Type="http://schemas.openxmlformats.org/officeDocument/2006/relationships/hyperlink" Target="mailto:s.berkovic@unimelb.edu.au" TargetMode="External"/><Relationship Id="rId7"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hyperlink" Target="http://www.nejm.org/doi/full/10.1056/NEJMoa0910752" TargetMode="External"/><Relationship Id="rId29" Type="http://schemas.openxmlformats.org/officeDocument/2006/relationships/hyperlink" Target="http://www.nejm.org/doi/full/10.1056/NEJMoa0910752" TargetMode="External"/><Relationship Id="rId1" Type="http://schemas.openxmlformats.org/officeDocument/2006/relationships/styles" Target="styles.xml"/><Relationship Id="rId6" Type="http://schemas.openxmlformats.org/officeDocument/2006/relationships/hyperlink" Target="http://www.nejm.org/action/showImage?doi=10.1056%2FNEJMoa0910752&amp;iid=f01" TargetMode="External"/><Relationship Id="rId11" Type="http://schemas.openxmlformats.org/officeDocument/2006/relationships/hyperlink" Target="http://www.nejm.org/doi/full/10.1056/NEJMoa0910752" TargetMode="External"/><Relationship Id="rId24" Type="http://schemas.openxmlformats.org/officeDocument/2006/relationships/image" Target="media/image3.gif"/><Relationship Id="rId32" Type="http://schemas.openxmlformats.org/officeDocument/2006/relationships/hyperlink" Target="http://www.nejm.org/doi/full/10.1056/NEJMoa0910752" TargetMode="External"/><Relationship Id="rId37" Type="http://schemas.openxmlformats.org/officeDocument/2006/relationships/hyperlink" Target="http://www.nejm.org/doi/suppl/10.1056/NEJMoa0910752/suppl_file/nejmoa0910752_disclosures.pdf" TargetMode="External"/><Relationship Id="rId40" Type="http://schemas.openxmlformats.org/officeDocument/2006/relationships/hyperlink" Target="http://www.nejm.org/doi/full/10.1056/NEJMoa0910752" TargetMode="External"/><Relationship Id="rId45" Type="http://schemas.openxmlformats.org/officeDocument/2006/relationships/hyperlink" Target="http://www.nejm.org/doi/full/10.1056/NEJMoa0910752" TargetMode="External"/><Relationship Id="rId53" Type="http://schemas.openxmlformats.org/officeDocument/2006/relationships/hyperlink" Target="http://www.nejm.org/doi/suppl/10.1056/NEJMoa0910752/suppl_file/nejmoa0910752_appendix.pdf" TargetMode="External"/><Relationship Id="rId58" Type="http://schemas.openxmlformats.org/officeDocument/2006/relationships/hyperlink" Target="http://www.nejm.org/doi/full/10.1056/NEJMoa0910752" TargetMode="External"/><Relationship Id="rId66" Type="http://schemas.openxmlformats.org/officeDocument/2006/relationships/hyperlink" Target="http://www.nejm.org/doi/full/10.1056/NEJMoa0910752" TargetMode="External"/><Relationship Id="rId5" Type="http://schemas.openxmlformats.org/officeDocument/2006/relationships/hyperlink" Target="http://www.nejm.org/doi/full/10.1056/NEJMoa0910752" TargetMode="External"/><Relationship Id="rId15" Type="http://schemas.openxmlformats.org/officeDocument/2006/relationships/hyperlink" Target="http://www.nejm.org/doi/full/10.1056/NEJMoa0910752" TargetMode="External"/><Relationship Id="rId23" Type="http://schemas.openxmlformats.org/officeDocument/2006/relationships/hyperlink" Target="http://www.nejm.org/action/showImage?doi=10.1056%2FNEJMoa0910752&amp;iid=t01" TargetMode="External"/><Relationship Id="rId28" Type="http://schemas.openxmlformats.org/officeDocument/2006/relationships/hyperlink" Target="http://www.nejm.org/doi/full/10.1056/NEJMoa0910752" TargetMode="External"/><Relationship Id="rId36" Type="http://schemas.openxmlformats.org/officeDocument/2006/relationships/hyperlink" Target="http://www.nejm.org/doi/full/10.1056/NEJMoa0910752" TargetMode="External"/><Relationship Id="rId49" Type="http://schemas.openxmlformats.org/officeDocument/2006/relationships/hyperlink" Target="http://www.nejm.org/doi/full/10.1056/NEJMoa0910752" TargetMode="External"/><Relationship Id="rId57" Type="http://schemas.openxmlformats.org/officeDocument/2006/relationships/hyperlink" Target="http://www.nejm.org/action/showImage?doi=10.1056%2FNEJMoa0910752&amp;iid=f01" TargetMode="External"/><Relationship Id="rId61" Type="http://schemas.openxmlformats.org/officeDocument/2006/relationships/hyperlink" Target="http://www.nejm.org/doi/full/10.1056/NEJMoa0910752" TargetMode="External"/><Relationship Id="rId10" Type="http://schemas.openxmlformats.org/officeDocument/2006/relationships/hyperlink" Target="http://www.nejm.org/doi/full/10.1056/NEJMoa0910752" TargetMode="External"/><Relationship Id="rId19" Type="http://schemas.openxmlformats.org/officeDocument/2006/relationships/hyperlink" Target="http://www.nejm.org/doi/full/10.1056/NEJMoa0910752" TargetMode="External"/><Relationship Id="rId31" Type="http://schemas.openxmlformats.org/officeDocument/2006/relationships/hyperlink" Target="http://www.nejm.org/doi/full/10.1056/NEJMoa0910752" TargetMode="External"/><Relationship Id="rId44" Type="http://schemas.openxmlformats.org/officeDocument/2006/relationships/hyperlink" Target="http://www.nejm.org/doi/full/10.1056/NEJMoa0910752" TargetMode="External"/><Relationship Id="rId52" Type="http://schemas.openxmlformats.org/officeDocument/2006/relationships/hyperlink" Target="http://www.nejm.org/doi/full/10.1056/NEJMoa0910752" TargetMode="External"/><Relationship Id="rId60" Type="http://schemas.openxmlformats.org/officeDocument/2006/relationships/hyperlink" Target="http://www.nejm.org/doi/full/10.1056/NEJMoa0910752" TargetMode="External"/><Relationship Id="rId65" Type="http://schemas.openxmlformats.org/officeDocument/2006/relationships/hyperlink" Target="http://www.nejm.org/action/showImage?doi=10.1056%2FNEJMoa0910752&amp;iid=f02" TargetMode="External"/><Relationship Id="rId4" Type="http://schemas.openxmlformats.org/officeDocument/2006/relationships/hyperlink" Target="http://www.nejm.org/toc/nejm/363/14/" TargetMode="External"/><Relationship Id="rId9" Type="http://schemas.openxmlformats.org/officeDocument/2006/relationships/image" Target="media/image2.gif"/><Relationship Id="rId14" Type="http://schemas.openxmlformats.org/officeDocument/2006/relationships/hyperlink" Target="http://www.nejm.org/doi/full/10.1056/NEJMoa0910752" TargetMode="External"/><Relationship Id="rId22" Type="http://schemas.openxmlformats.org/officeDocument/2006/relationships/hyperlink" Target="http://www.nejm.org/doi/suppl/10.1056/NEJMoa0910752/suppl_file/nejmoa0910752_appendix.pdf" TargetMode="External"/><Relationship Id="rId27" Type="http://schemas.openxmlformats.org/officeDocument/2006/relationships/hyperlink" Target="http://www.nejm.org/action/showImage?doi=10.1056%2FNEJMoa0910752&amp;iid=f01" TargetMode="External"/><Relationship Id="rId30" Type="http://schemas.openxmlformats.org/officeDocument/2006/relationships/hyperlink" Target="http://www.nejm.org/doi/full/10.1056/NEJMoa0910752" TargetMode="External"/><Relationship Id="rId35" Type="http://schemas.openxmlformats.org/officeDocument/2006/relationships/hyperlink" Target="http://www.nejm.org/action/showImage?doi=10.1056%2FNEJMoa0910752&amp;iid=f02" TargetMode="External"/><Relationship Id="rId43" Type="http://schemas.openxmlformats.org/officeDocument/2006/relationships/hyperlink" Target="http://www.nejm.org/doi/full/10.1056/NEJMoa0910752" TargetMode="External"/><Relationship Id="rId48" Type="http://schemas.openxmlformats.org/officeDocument/2006/relationships/hyperlink" Target="http://www.nejm.org/doi/full/10.1056/NEJMoa0910752" TargetMode="External"/><Relationship Id="rId56" Type="http://schemas.openxmlformats.org/officeDocument/2006/relationships/hyperlink" Target="http://www.nejm.org/doi/full/10.1056/NEJMoa0910752" TargetMode="External"/><Relationship Id="rId64" Type="http://schemas.openxmlformats.org/officeDocument/2006/relationships/hyperlink" Target="http://www.nejm.org/doi/full/10.1056/NEJMoa0910752" TargetMode="External"/><Relationship Id="rId69" Type="http://schemas.openxmlformats.org/officeDocument/2006/relationships/fontTable" Target="fontTable.xml"/><Relationship Id="rId8" Type="http://schemas.openxmlformats.org/officeDocument/2006/relationships/hyperlink" Target="http://www.nejm.org/action/showImage?doi=10.1056%2FNEJMoa0910752&amp;iid=f02" TargetMode="External"/><Relationship Id="rId51" Type="http://schemas.openxmlformats.org/officeDocument/2006/relationships/hyperlink" Target="http://www.nejm.org/doi/full/10.1056/NEJMoa0910752" TargetMode="External"/><Relationship Id="rId3" Type="http://schemas.openxmlformats.org/officeDocument/2006/relationships/webSettings" Target="webSettings.xml"/><Relationship Id="rId12" Type="http://schemas.openxmlformats.org/officeDocument/2006/relationships/hyperlink" Target="http://www.nejm.org/doi/full/10.1056/NEJMoa0910752" TargetMode="External"/><Relationship Id="rId17" Type="http://schemas.openxmlformats.org/officeDocument/2006/relationships/hyperlink" Target="http://www.nejm.org/doi/full/10.1056/NEJMoa0910752" TargetMode="External"/><Relationship Id="rId25" Type="http://schemas.openxmlformats.org/officeDocument/2006/relationships/hyperlink" Target="http://www.nejm.org/doi/full/10.1056/NEJMoa0910752" TargetMode="External"/><Relationship Id="rId33" Type="http://schemas.openxmlformats.org/officeDocument/2006/relationships/hyperlink" Target="http://www.nejm.org/doi/full/10.1056/NEJMoa0910752" TargetMode="External"/><Relationship Id="rId38" Type="http://schemas.openxmlformats.org/officeDocument/2006/relationships/hyperlink" Target="mailto:s.berkovic@unimelb.edu.au" TargetMode="External"/><Relationship Id="rId46" Type="http://schemas.openxmlformats.org/officeDocument/2006/relationships/hyperlink" Target="http://www.nejm.org/doi/full/10.1056/NEJMoa0910752" TargetMode="External"/><Relationship Id="rId59" Type="http://schemas.openxmlformats.org/officeDocument/2006/relationships/hyperlink" Target="http://www.nejm.org/doi/full/10.1056/NEJMoa0910752" TargetMode="External"/><Relationship Id="rId67" Type="http://schemas.openxmlformats.org/officeDocument/2006/relationships/hyperlink" Target="http://www.nejm.org/doi/suppl/10.1056/NEJMoa0910752/suppl_file/nejmoa0910752_disclosures.pdf" TargetMode="External"/><Relationship Id="rId20" Type="http://schemas.openxmlformats.org/officeDocument/2006/relationships/hyperlink" Target="http://www.nejm.org/doi/full/10.1056/NEJMoa0910752" TargetMode="External"/><Relationship Id="rId41" Type="http://schemas.openxmlformats.org/officeDocument/2006/relationships/hyperlink" Target="http://www.nejm.org/doi/full/10.1056/NEJMoa0910752" TargetMode="External"/><Relationship Id="rId54" Type="http://schemas.openxmlformats.org/officeDocument/2006/relationships/hyperlink" Target="http://www.nejm.org/action/showImage?doi=10.1056%2FNEJMoa0910752&amp;iid=t01" TargetMode="External"/><Relationship Id="rId62" Type="http://schemas.openxmlformats.org/officeDocument/2006/relationships/hyperlink" Target="http://www.nejm.org/doi/full/10.1056/NEJMoa091075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1</cp:revision>
  <dcterms:created xsi:type="dcterms:W3CDTF">2011-04-12T15:49:00Z</dcterms:created>
  <dcterms:modified xsi:type="dcterms:W3CDTF">2011-04-12T15:54:00Z</dcterms:modified>
</cp:coreProperties>
</file>